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HG丸ｺﾞｼｯｸM-PRO" w:hAnsi="HG丸ｺﾞｼｯｸM-PRO" w:eastAsia="HG丸ｺﾞｼｯｸM-PRO"/>
          <w:color w:val="000000" w:themeColor="text1"/>
          <w:sz w:val="56"/>
        </w:rPr>
      </w:pPr>
      <w:bookmarkStart w:id="0" w:name="_GoBack"/>
      <w:bookmarkEnd w:id="0"/>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56"/>
        </w:rPr>
      </w:pPr>
      <w:r>
        <w:rPr>
          <w:rFonts w:hint="eastAsia" w:ascii="HG丸ｺﾞｼｯｸM-PRO" w:hAnsi="HG丸ｺﾞｼｯｸM-PRO" w:eastAsia="HG丸ｺﾞｼｯｸM-PRO"/>
          <w:color w:val="000000" w:themeColor="text1"/>
          <w:sz w:val="56"/>
        </w:rPr>
        <w:t>診療用放射線利用の手引き</w:t>
      </w:r>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水戸市保健所</w:t>
      </w: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茨城県中央保健所</w:t>
      </w:r>
    </w:p>
    <w:p>
      <w:pPr>
        <w:pStyle w:val="15"/>
        <w:ind w:right="640"/>
        <w:rPr>
          <w:rFonts w:hint="default" w:ascii="HG丸ｺﾞｼｯｸM-PRO" w:hAnsi="HG丸ｺﾞｼｯｸM-PRO" w:eastAsia="HG丸ｺﾞｼｯｸM-PRO"/>
          <w:color w:val="000000" w:themeColor="text1"/>
          <w:sz w:val="56"/>
        </w:rPr>
      </w:pPr>
    </w:p>
    <w:p>
      <w:pPr>
        <w:pStyle w:val="15"/>
        <w:ind w:right="640"/>
        <w:rPr>
          <w:rFonts w:hint="default" w:ascii="HG丸ｺﾞｼｯｸM-PRO" w:hAnsi="HG丸ｺﾞｼｯｸM-PRO" w:eastAsia="HG丸ｺﾞｼｯｸM-PRO"/>
          <w:color w:val="000000" w:themeColor="text1"/>
          <w:sz w:val="32"/>
        </w:rPr>
      </w:pPr>
    </w:p>
    <w:p>
      <w:pPr>
        <w:pStyle w:val="15"/>
        <w:wordWrap w:val="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令和５年８月１８日作成</w:t>
      </w:r>
    </w:p>
    <w:p>
      <w:pPr>
        <w:pStyle w:val="15"/>
        <w:wordWrap w:val="0"/>
        <w:ind w:rightChars="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令和７年５月</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１</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日改訂</w:t>
      </w:r>
    </w:p>
    <w:p>
      <w:pPr>
        <w:pStyle w:val="15"/>
        <w:wordWrap w:val="0"/>
        <w:jc w:val="right"/>
        <w:rPr>
          <w:rFonts w:hint="default" w:ascii="HG丸ｺﾞｼｯｸM-PRO" w:hAnsi="HG丸ｺﾞｼｯｸM-PRO" w:eastAsia="HG丸ｺﾞｼｯｸM-PRO"/>
          <w:color w:val="000000" w:themeColor="text1"/>
          <w:sz w:val="28"/>
        </w:rPr>
      </w:pPr>
    </w:p>
    <w:p>
      <w:pPr>
        <w:pStyle w:val="15"/>
        <w:wordWrap w:val="0"/>
        <w:jc w:val="right"/>
        <w:rPr>
          <w:rFonts w:hint="default" w:ascii="HG丸ｺﾞｼｯｸM-PRO" w:hAnsi="HG丸ｺﾞｼｯｸM-PRO" w:eastAsia="HG丸ｺﾞｼｯｸM-PRO"/>
          <w:color w:val="000000" w:themeColor="text1"/>
          <w:sz w:val="28"/>
        </w:rPr>
      </w:pPr>
    </w:p>
    <w:p>
      <w:pPr>
        <w:pStyle w:val="15"/>
        <w:wordWrap w:val="0"/>
        <w:jc w:val="right"/>
        <w:rPr>
          <w:rFonts w:hint="default" w:ascii="HG丸ｺﾞｼｯｸM-PRO" w:hAnsi="HG丸ｺﾞｼｯｸM-PRO" w:eastAsia="HG丸ｺﾞｼｯｸM-PRO"/>
          <w:color w:val="000000" w:themeColor="text1"/>
          <w:sz w:val="28"/>
        </w:rPr>
      </w:pPr>
    </w:p>
    <w:p>
      <w:pPr>
        <w:pStyle w:val="15"/>
        <w:wordWrap w:val="0"/>
        <w:ind w:right="840" w:rightChars="400"/>
        <w:jc w:val="both"/>
        <w:rPr>
          <w:rFonts w:hint="default" w:ascii="HG丸ｺﾞｼｯｸM-PRO" w:hAnsi="HG丸ｺﾞｼｯｸM-PRO" w:eastAsia="HG丸ｺﾞｼｯｸM-PRO"/>
          <w:color w:val="000000" w:themeColor="text1"/>
          <w:sz w:val="28"/>
        </w:rPr>
      </w:pPr>
    </w:p>
    <w:p>
      <w:pPr>
        <w:rPr>
          <w:rFonts w:hint="default" w:ascii="HG丸ｺﾞｼｯｸM-PRO" w:hAnsi="HG丸ｺﾞｼｯｸM-PRO" w:eastAsia="HG丸ｺﾞｼｯｸM-PRO"/>
          <w:color w:val="auto"/>
          <w:sz w:val="32"/>
        </w:rPr>
        <w:sectPr>
          <w:footerReference r:id="rId6" w:type="default"/>
          <w:pgSz w:w="11906" w:h="16838"/>
          <w:pgMar w:top="1985" w:right="1701" w:bottom="1701" w:left="1701" w:header="851" w:footer="992" w:gutter="0"/>
          <w:pgNumType w:start="1"/>
          <w:cols w:space="720"/>
          <w:titlePg w:val="1"/>
          <w:textDirection w:val="lrTb"/>
          <w:docGrid w:type="lines" w:linePitch="360"/>
        </w:sectPr>
      </w:pPr>
    </w:p>
    <w:p>
      <w:pPr>
        <w:pStyle w:val="15"/>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28"/>
        </w:rPr>
        <w:t>手引きに出てくる法令例規の略称</w:t>
      </w:r>
    </w:p>
    <w:p>
      <w:pPr>
        <w:pStyle w:val="15"/>
        <w:rPr>
          <w:rFonts w:hint="default" w:ascii="HG丸ｺﾞｼｯｸM-PRO" w:hAnsi="HG丸ｺﾞｼｯｸM-PRO" w:eastAsia="HG丸ｺﾞｼｯｸM-PRO"/>
          <w:color w:val="000000" w:themeColor="text1"/>
          <w:sz w:val="28"/>
        </w:rPr>
      </w:pP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・法：医療法（昭和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日法律第</w:t>
      </w:r>
      <w:r>
        <w:rPr>
          <w:rFonts w:hint="eastAsia" w:ascii="HG丸ｺﾞｼｯｸM-PRO" w:hAnsi="HG丸ｺﾞｼｯｸM-PRO" w:eastAsia="HG丸ｺﾞｼｯｸM-PRO"/>
          <w:color w:val="000000" w:themeColor="text1"/>
          <w:sz w:val="22"/>
        </w:rPr>
        <w:t>205</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・令：医療法施行令（昭和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27</w:t>
      </w:r>
      <w:r>
        <w:rPr>
          <w:rFonts w:hint="eastAsia" w:ascii="HG丸ｺﾞｼｯｸM-PRO" w:hAnsi="HG丸ｺﾞｼｯｸM-PRO" w:eastAsia="HG丸ｺﾞｼｯｸM-PRO"/>
          <w:color w:val="000000" w:themeColor="text1"/>
          <w:sz w:val="22"/>
        </w:rPr>
        <w:t>日政令第</w:t>
      </w:r>
      <w:r>
        <w:rPr>
          <w:rFonts w:hint="default" w:ascii="HG丸ｺﾞｼｯｸM-PRO" w:hAnsi="HG丸ｺﾞｼｯｸM-PRO" w:eastAsia="HG丸ｺﾞｼｯｸM-PRO"/>
          <w:color w:val="000000" w:themeColor="text1"/>
          <w:sz w:val="22"/>
        </w:rPr>
        <w:t>326</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・則：医療法施行規則（昭和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50</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号：病院又は診療所における診療用放射線の取扱について（平成</w:t>
      </w:r>
      <w:r>
        <w:rPr>
          <w:rFonts w:hint="eastAsia" w:ascii="HG丸ｺﾞｼｯｸM-PRO" w:hAnsi="HG丸ｺﾞｼｯｸM-PRO" w:eastAsia="HG丸ｺﾞｼｯｸM-PRO"/>
          <w:color w:val="000000" w:themeColor="text1"/>
          <w:sz w:val="22"/>
        </w:rPr>
        <w:t>31</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日）</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・薬機法：医薬品、医療機器等の品質、有効性及び安全性の確保等に関する法律</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（昭和</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145</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・薬機則：医薬品、医療機器等の品質、有効性及び安全性の確保等に関する法律施行規則（昭和</w:t>
      </w:r>
      <w:r>
        <w:rPr>
          <w:rFonts w:hint="default" w:ascii="HG丸ｺﾞｼｯｸM-PRO" w:hAnsi="HG丸ｺﾞｼｯｸM-PRO" w:eastAsia="HG丸ｺﾞｼｯｸM-PRO"/>
          <w:color w:val="000000" w:themeColor="text1"/>
          <w:sz w:val="22"/>
        </w:rPr>
        <w:t>36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・安衛法：労働安全衛生法（昭和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57</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・安衛則：労働安全衛生法施行規則（昭和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32</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・電離則：電離放射線障害防止規則（昭和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41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b w:val="0"/>
          <w:color w:val="000000" w:themeColor="text1"/>
          <w:sz w:val="22"/>
        </w:rPr>
        <w:t>診療</w:t>
      </w:r>
      <w:r>
        <w:rPr>
          <w:rFonts w:hint="eastAsia" w:ascii="HG丸ｺﾞｼｯｸM-PRO" w:hAnsi="HG丸ｺﾞｼｯｸM-PRO" w:eastAsia="HG丸ｺﾞｼｯｸM-PRO"/>
          <w:color w:val="000000" w:themeColor="text1"/>
          <w:sz w:val="22"/>
        </w:rPr>
        <w:t>放射線技師法：診療放射線技師法（昭和</w:t>
      </w:r>
      <w:r>
        <w:rPr>
          <w:rFonts w:hint="default" w:ascii="HG丸ｺﾞｼｯｸM-PRO" w:hAnsi="HG丸ｺﾞｼｯｸM-PRO" w:eastAsia="HG丸ｺﾞｼｯｸM-PRO"/>
          <w:color w:val="000000" w:themeColor="text1"/>
          <w:sz w:val="22"/>
        </w:rPr>
        <w:t>26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226</w:t>
      </w:r>
      <w:r>
        <w:rPr>
          <w:rFonts w:hint="eastAsia" w:ascii="HG丸ｺﾞｼｯｸM-PRO" w:hAnsi="HG丸ｺﾞｼｯｸM-PRO" w:eastAsia="HG丸ｺﾞｼｯｸM-PRO"/>
          <w:color w:val="000000" w:themeColor="text1"/>
          <w:sz w:val="22"/>
        </w:rPr>
        <w:t>号</w:t>
      </w:r>
      <w:r>
        <w:rPr>
          <w:rFonts w:hint="default" w:ascii="HG丸ｺﾞｼｯｸM-PRO" w:hAnsi="HG丸ｺﾞｼｯｸM-PRO" w:eastAsia="HG丸ｺﾞｼｯｸM-PRO"/>
          <w:color w:val="000000" w:themeColor="text1"/>
          <w:sz w:val="22"/>
        </w:rPr>
        <w:t>)</w:t>
      </w:r>
    </w:p>
    <w:p>
      <w:pPr>
        <w:pStyle w:val="0"/>
        <w:widowControl w:val="1"/>
        <w:spacing w:after="240" w:afterLines="0" w:afterAutospacing="0"/>
        <w:jc w:val="left"/>
        <w:rPr>
          <w:rFonts w:hint="default" w:ascii="HG丸ｺﾞｼｯｸM-PRO" w:hAnsi="HG丸ｺﾞｼｯｸM-PRO" w:eastAsia="HG丸ｺﾞｼｯｸM-PRO"/>
          <w:color w:val="000000" w:themeColor="text1"/>
          <w:sz w:val="28"/>
        </w:rPr>
      </w:pPr>
      <w:r>
        <w:rPr>
          <w:rFonts w:hint="default" w:ascii="HG丸ｺﾞｼｯｸM-PRO" w:hAnsi="HG丸ｺﾞｼｯｸM-PRO" w:eastAsia="HG丸ｺﾞｼｯｸM-PRO"/>
          <w:color w:val="000000" w:themeColor="text1"/>
          <w:sz w:val="22"/>
        </w:rPr>
        <w:br w:type="page"/>
      </w:r>
      <w:r>
        <w:rPr>
          <w:rFonts w:hint="eastAsia" w:ascii="HG丸ｺﾞｼｯｸM-PRO" w:hAnsi="HG丸ｺﾞｼｯｸM-PRO" w:eastAsia="HG丸ｺﾞｼｯｸM-PRO"/>
          <w:color w:val="000000" w:themeColor="text1"/>
          <w:sz w:val="28"/>
        </w:rPr>
        <w:t>目次</w:t>
      </w:r>
    </w:p>
    <w:p>
      <w:pPr>
        <w:pStyle w:val="0"/>
        <w:adjustRightInd w:val="0"/>
        <w:snapToGrid w:val="0"/>
        <w:ind w:left="210" w:leftChars="100"/>
        <w:rPr>
          <w:rFonts w:hint="default" w:ascii="HG丸ｺﾞｼｯｸM-PRO" w:hAnsi="HG丸ｺﾞｼｯｸM-PRO" w:eastAsia="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１　エックス線装置の備付、更新、廃止　　…………………………………</w:t>
      </w:r>
      <w:r>
        <w:rPr>
          <w:rFonts w:hint="eastAsia" w:ascii="HG丸ｺﾞｼｯｸM-PRO" w:hAnsi="HG丸ｺﾞｼｯｸM-PRO" w:eastAsia="HG丸ｺﾞｼｯｸM-PRO"/>
          <w:color w:val="000000" w:themeColor="text1"/>
          <w:kern w:val="0"/>
          <w:sz w:val="22"/>
        </w:rPr>
        <w:t>3</w:t>
      </w:r>
    </w:p>
    <w:p>
      <w:pPr>
        <w:pStyle w:val="15"/>
        <w:snapToGrid w:val="0"/>
        <w:ind w:left="210" w:leftChars="10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　　　　　………………………………………………</w:t>
      </w:r>
      <w:r>
        <w:rPr>
          <w:rFonts w:hint="eastAsia" w:ascii="HG丸ｺﾞｼｯｸM-PRO" w:hAnsi="HG丸ｺﾞｼｯｸM-PRO" w:eastAsia="HG丸ｺﾞｼｯｸM-PRO"/>
          <w:color w:val="000000" w:themeColor="text1"/>
          <w:sz w:val="22"/>
        </w:rPr>
        <w:t>4</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　放射線診療従事者の健康管理　　　　　………………</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　放射線診療従事者の被ばく管理　　</w:t>
      </w: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５　放射線機器を含む医療機器の管理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w:t>
      </w:r>
    </w:p>
    <w:p>
      <w:pPr>
        <w:pStyle w:val="0"/>
        <w:autoSpaceDE w:val="0"/>
        <w:autoSpaceDN w:val="0"/>
        <w:adjustRightInd w:val="0"/>
        <w:snapToGrid w:val="0"/>
        <w:ind w:left="210" w:left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６　診療用放射線の安全管理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8</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７　照射録の管理</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0</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８　放射線管理区域</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1</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９　放射線漏洩線量の測定</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3</w:t>
      </w:r>
    </w:p>
    <w:p>
      <w:pPr>
        <w:pStyle w:val="0"/>
        <w:widowControl w:val="1"/>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１０</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使用中の表示</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15"/>
        <w:snapToGrid w:val="0"/>
        <w:ind w:firstLine="110" w:firstLineChars="5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１１</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事故の場合の対応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0"/>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複数</w:t>
      </w:r>
      <w:r>
        <w:rPr>
          <w:rFonts w:hint="eastAsia" w:ascii="HG丸ｺﾞｼｯｸM-PRO" w:hAnsi="HG丸ｺﾞｼｯｸM-PRO" w:eastAsia="HG丸ｺﾞｼｯｸM-PRO"/>
          <w:b w:val="0"/>
          <w:color w:val="000000" w:themeColor="text1"/>
          <w:sz w:val="22"/>
        </w:rPr>
        <w:t>のエックス線装置</w:t>
      </w:r>
      <w:r>
        <w:rPr>
          <w:rFonts w:hint="eastAsia" w:ascii="HG丸ｺﾞｼｯｸM-PRO" w:hAnsi="HG丸ｺﾞｼｯｸM-PRO" w:eastAsia="HG丸ｺﾞｼｯｸM-PRO"/>
          <w:color w:val="000000" w:themeColor="text1"/>
          <w:sz w:val="22"/>
        </w:rPr>
        <w:t>の同室使用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sz w:val="22"/>
        </w:rPr>
        <w:t>１３</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b w:val="0"/>
          <w:color w:val="000000" w:themeColor="text1"/>
          <w:sz w:val="22"/>
        </w:rPr>
        <w:t>移動型エックス線装置</w:t>
      </w:r>
      <w:r>
        <w:rPr>
          <w:rFonts w:hint="eastAsia" w:ascii="HG丸ｺﾞｼｯｸM-PRO" w:hAnsi="HG丸ｺﾞｼｯｸM-PRO" w:eastAsia="HG丸ｺﾞｼｯｸM-PRO"/>
          <w:color w:val="000000" w:themeColor="text1"/>
          <w:sz w:val="22"/>
        </w:rPr>
        <w:t>の使用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游ゴシック Medium" w:hAnsi="游ゴシック Medium" w:eastAsia="游ゴシック Medium"/>
          <w:color w:val="000000" w:themeColor="text1"/>
          <w:sz w:val="22"/>
        </w:rPr>
      </w:pPr>
      <w:r>
        <w:rPr>
          <w:rFonts w:hint="eastAsia" w:ascii="HG丸ｺﾞｼｯｸM-PRO" w:hAnsi="HG丸ｺﾞｼｯｸM-PRO" w:eastAsia="HG丸ｺﾞｼｯｸM-PRO"/>
          <w:color w:val="000000" w:themeColor="text1"/>
          <w:sz w:val="22"/>
        </w:rPr>
        <w:t>１４</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問い合わせ先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6</w:t>
      </w:r>
      <w:r>
        <w:rPr>
          <w:rFonts w:hint="default" w:ascii="游ゴシック Medium" w:hAnsi="游ゴシック Medium" w:eastAsia="游ゴシック Medium"/>
          <w:color w:val="000000" w:themeColor="text1"/>
          <w:sz w:val="22"/>
        </w:rPr>
        <w:br w:type="page"/>
      </w:r>
    </w:p>
    <w:p>
      <w:pPr>
        <w:pStyle w:val="0"/>
        <w:autoSpaceDE w:val="0"/>
        <w:autoSpaceDN w:val="0"/>
        <w:adjustRightInd w:val="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 behindDoc="0" locked="0" layoutInCell="1" hidden="0" allowOverlap="1">
                <wp:simplePos x="0" y="0"/>
                <wp:positionH relativeFrom="column">
                  <wp:posOffset>25400</wp:posOffset>
                </wp:positionH>
                <wp:positionV relativeFrom="paragraph">
                  <wp:posOffset>100330</wp:posOffset>
                </wp:positionV>
                <wp:extent cx="3976370" cy="54165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397637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313.10000000000002pt;height:42.65pt;mso-position-horizontal-relative:text;position:absolute;margin-left:2pt;margin-top:7.9pt;mso-wrap-distance-bottom:0pt;mso-wrap-distance-right:9pt;mso-wrap-distance-top:0pt;v-text-anchor:middle;" o:spid="_x0000_s102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医療法の手続き</w:t>
      </w:r>
    </w:p>
    <w:p>
      <w:pPr>
        <w:pStyle w:val="0"/>
        <w:spacing w:after="0" w:afterLines="0" w:afterAutospacing="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エックス線装置の備付、更新、廃止等を行った場合には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医療法上の届出が必要です。</w:t>
      </w:r>
    </w:p>
    <w:p>
      <w:pPr>
        <w:pStyle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（法第</w:t>
      </w:r>
      <w:r>
        <w:rPr>
          <w:rFonts w:hint="eastAsia" w:ascii="HG丸ｺﾞｼｯｸM-PRO" w:hAnsi="HG丸ｺﾞｼｯｸM-PRO" w:eastAsia="HG丸ｺﾞｼｯｸM-PRO"/>
          <w:color w:val="000000" w:themeColor="text1"/>
          <w:kern w:val="0"/>
          <w:sz w:val="22"/>
        </w:rPr>
        <w:t>15</w:t>
      </w:r>
      <w:r>
        <w:rPr>
          <w:rFonts w:hint="eastAsia" w:ascii="HG丸ｺﾞｼｯｸM-PRO" w:hAnsi="HG丸ｺﾞｼｯｸM-PRO" w:eastAsia="HG丸ｺﾞｼｯｸM-PRO"/>
          <w:color w:val="000000" w:themeColor="text1"/>
          <w:kern w:val="0"/>
          <w:sz w:val="22"/>
        </w:rPr>
        <w:t>条第</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項、則第</w:t>
      </w:r>
      <w:r>
        <w:rPr>
          <w:rFonts w:hint="eastAsia" w:ascii="HG丸ｺﾞｼｯｸM-PRO" w:hAnsi="HG丸ｺﾞｼｯｸM-PRO" w:eastAsia="HG丸ｺﾞｼｯｸM-PRO"/>
          <w:color w:val="000000" w:themeColor="text1"/>
          <w:kern w:val="0"/>
          <w:sz w:val="22"/>
        </w:rPr>
        <w:t>24</w:t>
      </w:r>
      <w:r>
        <w:rPr>
          <w:rFonts w:hint="eastAsia" w:ascii="HG丸ｺﾞｼｯｸM-PRO" w:hAnsi="HG丸ｺﾞｼｯｸM-PRO" w:eastAsia="HG丸ｺﾞｼｯｸM-PRO"/>
          <w:color w:val="000000" w:themeColor="text1"/>
          <w:kern w:val="0"/>
          <w:sz w:val="22"/>
        </w:rPr>
        <w:t>条、則第</w:t>
      </w:r>
      <w:r>
        <w:rPr>
          <w:rFonts w:hint="eastAsia" w:ascii="HG丸ｺﾞｼｯｸM-PRO" w:hAnsi="HG丸ｺﾞｼｯｸM-PRO" w:eastAsia="HG丸ｺﾞｼｯｸM-PRO"/>
          <w:color w:val="000000" w:themeColor="text1"/>
          <w:kern w:val="0"/>
          <w:sz w:val="22"/>
        </w:rPr>
        <w:t>29</w:t>
      </w:r>
      <w:r>
        <w:rPr>
          <w:rFonts w:hint="eastAsia" w:ascii="HG丸ｺﾞｼｯｸM-PRO" w:hAnsi="HG丸ｺﾞｼｯｸM-PRO" w:eastAsia="HG丸ｺﾞｼｯｸM-PRO"/>
          <w:color w:val="000000" w:themeColor="text1"/>
          <w:kern w:val="0"/>
          <w:sz w:val="22"/>
        </w:rPr>
        <w:t>条）</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診療用エックス線装置の定義：定格出力の管電圧（波高値）が１０キロボルト以上で、かつ、有するエネルギーが１メガ電子ボルト未満のもの</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該当する装置はおおむね次表のように分類出来ます。</w:t>
      </w:r>
    </w:p>
    <w:tbl>
      <w:tblPr>
        <w:tblStyle w:val="27"/>
        <w:tblW w:w="8494" w:type="dxa"/>
        <w:tblInd w:w="0" w:type="dxa"/>
        <w:tblLayout w:type="fixed"/>
        <w:tblLook w:firstRow="1" w:lastRow="0" w:firstColumn="1" w:lastColumn="0" w:noHBand="0" w:noVBand="1" w:val="04A0"/>
      </w:tblPr>
      <w:tblGrid>
        <w:gridCol w:w="4247"/>
        <w:gridCol w:w="4247"/>
      </w:tblGrid>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直接撮影用エックス線装置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治療用エックス線装置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断層撮影エックス線装置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輸血用血液照射エックス線装置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CT</w:t>
            </w:r>
            <w:r>
              <w:rPr>
                <w:rFonts w:hint="eastAsia" w:ascii="HG丸ｺﾞｼｯｸM-PRO" w:hAnsi="HG丸ｺﾞｼｯｸM-PRO" w:eastAsia="HG丸ｺﾞｼｯｸM-PRO"/>
                <w:color w:val="000000" w:themeColor="text1"/>
                <w:sz w:val="20"/>
              </w:rPr>
              <w:t>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血管撮影用エックス線装置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胸部集検用間接撮影エックス線装置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乳房撮影用エックス線装置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口内法撮影用エックス線装置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移動型・携帯型撮影用エックス線装置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歯科用パノラマ断層撮影装置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移動型透視用エックス線装置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骨塩定量分析エックス線装置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結石破砕エックス線装置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透視用エックス線装置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その他の機器との複合エックス線装置</w:t>
            </w:r>
            <w:r>
              <w:rPr>
                <w:rFonts w:hint="eastAsia" w:ascii="HG丸ｺﾞｼｯｸM-PRO" w:hAnsi="HG丸ｺﾞｼｯｸM-PRO" w:eastAsia="HG丸ｺﾞｼｯｸM-PRO"/>
                <w:color w:val="000000" w:themeColor="text1"/>
                <w:sz w:val="20"/>
                <w:vertAlign w:val="superscript"/>
              </w:rPr>
              <w:t>＊</w:t>
            </w:r>
          </w:p>
        </w:tc>
      </w:tr>
    </w:tbl>
    <w:p>
      <w:pPr>
        <w:pStyle w:val="20"/>
        <w:numPr>
          <w:ilvl w:val="0"/>
          <w:numId w:val="1"/>
        </w:numPr>
        <w:ind w:leftChars="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厚生労働省の通知</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医政発０３１５第４号</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では分類されていません。また、医療法上の分類にある診療用放射線照射装置ではないのでご注意ください。</w:t>
      </w:r>
    </w:p>
    <w:p>
      <w:pPr>
        <w:pStyle w:val="20"/>
        <w:numPr>
          <w:ilvl w:val="0"/>
          <w:numId w:val="2"/>
        </w:numPr>
        <w:ind w:leftChars="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診療用エックス線装置を備えた場合</w:t>
      </w:r>
    </w:p>
    <w:tbl>
      <w:tblPr>
        <w:tblStyle w:val="27"/>
        <w:tblW w:w="8494" w:type="dxa"/>
        <w:jc w:val="center"/>
        <w:tblInd w:w="0" w:type="dxa"/>
        <w:tblLayout w:type="fixed"/>
        <w:tblLook w:firstRow="1" w:lastRow="0" w:firstColumn="1" w:lastColumn="0" w:noHBand="0" w:noVBand="1" w:val="04A0"/>
      </w:tblPr>
      <w:tblGrid>
        <w:gridCol w:w="3681"/>
        <w:gridCol w:w="2689"/>
        <w:gridCol w:w="2124"/>
      </w:tblGrid>
      <w:tr>
        <w:trPr/>
        <w:tc>
          <w:tcPr>
            <w:tcW w:w="3681"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診療用エックス線装置備付届</w:t>
            </w:r>
          </w:p>
        </w:tc>
        <w:tc>
          <w:tcPr>
            <w:tcW w:w="2689"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24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4</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24" w:type="dxa"/>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備付後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診療用エックス線装置等備付届出事項の一部変更を行った場合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診療用エックス線装置等備付届出事項の一部変更届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5</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変更</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診療用エックス線装置を廃止した場合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診療用エックス線装置等備付廃止届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6</w:t>
            </w:r>
            <w:r>
              <w:rPr>
                <w:rFonts w:hint="default"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廃止</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添付書類は各届出様式をご確認下さい。</w:t>
      </w:r>
    </w:p>
    <w:p>
      <w:pPr>
        <w:pStyle w:val="20"/>
        <w:ind w:left="360" w:leftChars="0"/>
        <w:rPr>
          <w:rFonts w:hint="default" w:ascii="HG丸ｺﾞｼｯｸM-PRO" w:hAnsi="HG丸ｺﾞｼｯｸM-PRO" w:eastAsia="HG丸ｺﾞｼｯｸM-PRO"/>
          <w:color w:val="000000" w:themeColor="text1"/>
          <w:sz w:val="22"/>
        </w:rPr>
      </w:pPr>
    </w:p>
    <w:p>
      <w:pPr>
        <w:pStyle w:val="20"/>
        <w:ind w:left="360"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　</w:t>
      </w:r>
      <w:r>
        <w:rPr>
          <w:rFonts w:hint="eastAsia" w:ascii="HG丸ｺﾞｼｯｸM-PRO" w:hAnsi="HG丸ｺﾞｼｯｸM-PRO" w:eastAsia="HG丸ｺﾞｼｯｸM-PRO"/>
          <w:color w:val="000000" w:themeColor="text1"/>
          <w:kern w:val="0"/>
          <w:sz w:val="22"/>
        </w:rPr>
        <w:t>水戸市保健所の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https://www.city.mito.lg.jp/page/5555.html</w:t>
      </w:r>
      <w:r>
        <w:rPr>
          <w:rFonts w:hint="eastAsia"/>
        </w:rPr>
        <w:fldChar w:fldCharType="end"/>
      </w:r>
    </w:p>
    <w:p>
      <w:pPr>
        <w:pStyle w:val="20"/>
        <w:ind w:left="360" w:leftChars="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茨城県中央保健所の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sz w:val="22"/>
          <w:u w:val="single" w:color="auto"/>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https://www.pref.ibaraki.jp/hokenfukushi/mitoho/chiiki/mitohc/05shinseisyo/xsen.html</w:t>
      </w:r>
      <w:r>
        <w:rPr>
          <w:rFonts w:hint="eastAsia"/>
        </w:rPr>
        <w:fldChar w:fldCharType="end"/>
      </w:r>
    </w:p>
    <w:p>
      <w:pPr>
        <w:pStyle w:val="20"/>
        <w:ind w:left="360" w:leftChars="0" w:firstLine="1980" w:firstLineChars="900"/>
        <w:rPr>
          <w:rFonts w:hint="default" w:ascii="HG丸ｺﾞｼｯｸM-PRO" w:hAnsi="HG丸ｺﾞｼｯｸM-PRO" w:eastAsia="HG丸ｺﾞｼｯｸM-PRO"/>
          <w:color w:val="000000" w:themeColor="text1"/>
          <w:sz w:val="22"/>
          <w:u w:val="single" w:color="auto"/>
        </w:rPr>
      </w:pPr>
      <w:r>
        <w:rPr>
          <w:rFonts w:hint="eastAsia" w:ascii="HG丸ｺﾞｼｯｸM-PRO" w:hAnsi="HG丸ｺﾞｼｯｸM-PRO" w:eastAsia="HG丸ｺﾞｼｯｸM-PRO"/>
          <w:color w:val="000000" w:themeColor="text1"/>
          <w:sz w:val="22"/>
        </w:rPr>
        <w:t>水戸市保健所</w:t>
      </w:r>
      <w:r>
        <w:rPr>
          <w:rFonts w:hint="eastAsia" w:ascii="HG丸ｺﾞｼｯｸM-PRO" w:hAnsi="HG丸ｺﾞｼｯｸM-PRO" w:eastAsia="HG丸ｺﾞｼｯｸM-PRO"/>
          <w:color w:val="000000" w:themeColor="text1"/>
          <w:sz w:val="22"/>
        </w:rPr>
        <w:t>HP</w:t>
      </w:r>
      <w:r>
        <w:rPr>
          <w:rFonts w:hint="eastAsia" w:ascii="HG丸ｺﾞｼｯｸM-PRO" w:hAnsi="HG丸ｺﾞｼｯｸM-PRO" w:eastAsia="HG丸ｺﾞｼｯｸM-PRO"/>
          <w:color w:val="000000" w:themeColor="text1"/>
          <w:sz w:val="22"/>
        </w:rPr>
        <w:t>　　　　中央保健所</w:t>
      </w:r>
      <w:r>
        <w:rPr>
          <w:rFonts w:hint="eastAsia" w:ascii="HG丸ｺﾞｼｯｸM-PRO" w:hAnsi="HG丸ｺﾞｼｯｸM-PRO" w:eastAsia="HG丸ｺﾞｼｯｸM-PRO"/>
          <w:color w:val="000000" w:themeColor="text1"/>
          <w:sz w:val="22"/>
        </w:rPr>
        <w:t>HP</w:t>
      </w:r>
    </w:p>
    <w:p>
      <w:pPr>
        <w:pStyle w:val="20"/>
        <w:ind w:left="360" w:leftChars="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drawing>
          <wp:inline distT="0" distB="0" distL="0" distR="0">
            <wp:extent cx="1638300" cy="1638300"/>
            <wp:effectExtent l="0" t="0" r="0" b="0"/>
            <wp:docPr id="1027" name="Picture 5" descr="C:\Users\R04031060\AppData\Local\Microsoft\Windows\INetCache\Content.Word\水戸市保健所.png"/>
            <a:graphic xmlns:a="http://schemas.openxmlformats.org/drawingml/2006/main">
              <a:graphicData uri="http://schemas.openxmlformats.org/drawingml/2006/picture">
                <pic:pic xmlns:pic="http://schemas.openxmlformats.org/drawingml/2006/picture">
                  <pic:nvPicPr>
                    <pic:cNvPr id="1027" name="Picture 5" descr="C:\Users\R04031060\AppData\Local\Microsoft\Windows\INetCache\Content.Word\水戸市保健所.png"/>
                    <pic:cNvPicPr>
                      <a:picLocks noChangeAspect="1" noChangeArrowheads="1"/>
                    </pic:cNvPicPr>
                  </pic:nvPicPr>
                  <pic:blipFill>
                    <a:blip r:embed="rId7"/>
                    <a:stretch>
                      <a:fillRect/>
                    </a:stretch>
                  </pic:blipFill>
                  <pic:spPr>
                    <a:xfrm>
                      <a:off x="0" y="0"/>
                      <a:ext cx="1638300" cy="1638300"/>
                    </a:xfrm>
                    <a:prstGeom prst="rect">
                      <a:avLst/>
                    </a:prstGeom>
                    <a:noFill/>
                    <a:ln>
                      <a:noFill/>
                    </a:ln>
                  </pic:spPr>
                </pic:pic>
              </a:graphicData>
            </a:graphic>
          </wp:inline>
        </w:drawing>
      </w:r>
      <w:r>
        <w:rPr>
          <w:rFonts w:hint="default" w:ascii="HG丸ｺﾞｼｯｸM-PRO" w:hAnsi="HG丸ｺﾞｼｯｸM-PRO" w:eastAsia="HG丸ｺﾞｼｯｸM-PRO"/>
          <w:color w:val="000000" w:themeColor="text1"/>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width:128.4pt;height:128.4pt;" filled="f" o:spt="75" type="#_x0000_t75">
            <v:fill/>
            <v:stroke joinstyle="miter"/>
            <v:imagedata o:title="中央保健所" r:id="rId8"/>
            <o:lock v:ext="edit" aspectratio="t"/>
            <w10:anchorlock/>
          </v:shape>
        </w:pic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エックス線診療に従事する医師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診療放射線技師又は診療エックス線技師の氏名及びエックス線診療に関する経歴</w:t>
      </w:r>
      <w:r>
        <w:rPr>
          <w:rFonts w:hint="eastAsia" w:ascii="HG丸ｺﾞｼｯｸM-PRO" w:hAnsi="HG丸ｺﾞｼｯｸM-PRO" w:eastAsia="HG丸ｺﾞｼｯｸM-PRO"/>
          <w:color w:val="000000" w:themeColor="text1"/>
          <w:kern w:val="0"/>
          <w:sz w:val="22"/>
        </w:rPr>
        <w:t>が変更された際は、診療用エックス線装置等備付届出事項の一部変更届の提出が必要です。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装置の更新を行った場合には、</w:t>
      </w:r>
      <w:r>
        <w:rPr>
          <w:rFonts w:hint="eastAsia" w:ascii="HG丸ｺﾞｼｯｸM-PRO" w:hAnsi="HG丸ｺﾞｼｯｸM-PRO" w:eastAsia="HG丸ｺﾞｼｯｸM-PRO"/>
          <w:b w:val="0"/>
          <w:color w:val="000000" w:themeColor="text1"/>
          <w:sz w:val="22"/>
        </w:rPr>
        <w:t>備付</w:t>
      </w:r>
      <w:r>
        <w:rPr>
          <w:rFonts w:hint="eastAsia" w:ascii="HG丸ｺﾞｼｯｸM-PRO" w:hAnsi="HG丸ｺﾞｼｯｸM-PRO" w:eastAsia="HG丸ｺﾞｼｯｸM-PRO"/>
          <w:color w:val="000000" w:themeColor="text1"/>
          <w:sz w:val="22"/>
        </w:rPr>
        <w:t>、廃止両方の届出が必要です。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エックス線診療室の構造変更を伴う場合、あらかじめ、開設許可事項一部変更</w:t>
      </w:r>
      <w:r>
        <w:rPr>
          <w:rFonts w:hint="eastAsia" w:ascii="HG丸ｺﾞｼｯｸM-PRO" w:hAnsi="HG丸ｺﾞｼｯｸM-PRO" w:eastAsia="HG丸ｺﾞｼｯｸM-PRO"/>
          <w:b w:val="0"/>
          <w:color w:val="000000" w:themeColor="text1"/>
          <w:sz w:val="22"/>
        </w:rPr>
        <w:t>許可申請書</w:t>
      </w:r>
      <w:r>
        <w:rPr>
          <w:rFonts w:hint="eastAsia" w:ascii="HG丸ｺﾞｼｯｸM-PRO" w:hAnsi="HG丸ｺﾞｼｯｸM-PRO" w:eastAsia="HG丸ｺﾞｼｯｸM-PRO"/>
          <w:color w:val="000000" w:themeColor="text1"/>
          <w:sz w:val="22"/>
        </w:rPr>
        <w:t>、開設届出事項一部変更届、構造設備使用許可申請が必要となる場合が有ります。事前にお問い合わせください。</w:t>
      </w:r>
    </w:p>
    <w:p>
      <w:pPr>
        <w:pStyle w:val="15"/>
        <w:numPr>
          <w:ilvl w:val="0"/>
          <w:numId w:val="3"/>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装置の備付、更新をする場合には、その計画を当該工事開始の</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日前までに所轄</w:t>
      </w:r>
      <w:r>
        <w:rPr>
          <w:rFonts w:hint="eastAsia" w:ascii="HG丸ｺﾞｼｯｸM-PRO" w:hAnsi="HG丸ｺﾞｼｯｸM-PRO" w:eastAsia="HG丸ｺﾞｼｯｸM-PRO"/>
          <w:b w:val="0"/>
          <w:color w:val="000000" w:themeColor="text1"/>
          <w:sz w:val="22"/>
        </w:rPr>
        <w:t>労働基準監督署長</w:t>
      </w:r>
      <w:r>
        <w:rPr>
          <w:rFonts w:hint="eastAsia" w:ascii="HG丸ｺﾞｼｯｸM-PRO" w:hAnsi="HG丸ｺﾞｼｯｸM-PRO" w:eastAsia="HG丸ｺﾞｼｯｸM-PRO"/>
          <w:color w:val="000000" w:themeColor="text1"/>
          <w:sz w:val="22"/>
        </w:rPr>
        <w:t>に届け出てください。（労衛法第</w:t>
      </w:r>
      <w:r>
        <w:rPr>
          <w:rFonts w:hint="eastAsia" w:ascii="HG丸ｺﾞｼｯｸM-PRO" w:hAnsi="HG丸ｺﾞｼｯｸM-PRO" w:eastAsia="HG丸ｺﾞｼｯｸM-PRO"/>
          <w:color w:val="000000" w:themeColor="text1"/>
          <w:sz w:val="22"/>
        </w:rPr>
        <w:t>88</w:t>
      </w:r>
      <w:r>
        <w:rPr>
          <w:rFonts w:hint="eastAsia" w:ascii="HG丸ｺﾞｼｯｸM-PRO" w:hAnsi="HG丸ｺﾞｼｯｸM-PRO" w:eastAsia="HG丸ｺﾞｼｯｸM-PRO"/>
          <w:color w:val="000000" w:themeColor="text1"/>
          <w:sz w:val="22"/>
        </w:rPr>
        <w:t>条）</w:t>
      </w:r>
    </w:p>
    <w:p>
      <w:pPr>
        <w:pStyle w:val="15"/>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31" behindDoc="0" locked="0" layoutInCell="1" hidden="0" allowOverlap="1">
                <wp:simplePos x="0" y="0"/>
                <wp:positionH relativeFrom="margin">
                  <wp:posOffset>-3810</wp:posOffset>
                </wp:positionH>
                <wp:positionV relativeFrom="paragraph">
                  <wp:posOffset>276225</wp:posOffset>
                </wp:positionV>
                <wp:extent cx="2133600" cy="541655"/>
                <wp:effectExtent l="635" t="635" r="29845" b="10795"/>
                <wp:wrapNone/>
                <wp:docPr id="1029" name="角丸四角形 28"/>
                <a:graphic xmlns:a="http://schemas.openxmlformats.org/drawingml/2006/main">
                  <a:graphicData uri="http://schemas.microsoft.com/office/word/2010/wordprocessingShape">
                    <wps:wsp>
                      <wps:cNvPr id="1029" name="角丸四角形 28"/>
                      <wps:cNvSpPr/>
                      <wps:spPr>
                        <a:xfrm>
                          <a:off x="0" y="0"/>
                          <a:ext cx="21336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8" style="mso-position-vertical-relative:text;z-index:31;mso-wrap-distance-left:9pt;width:168pt;height:42.65pt;mso-position-horizontal-relative:margin;position:absolute;margin-left:-0.3pt;margin-top:21.75pt;mso-wrap-distance-bottom:0pt;mso-wrap-distance-right:9pt;mso-wrap-distance-top:0pt;v-text-anchor:middle;" o:spid="_x0000_s1029"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v:textbox>
                <v:imagedata o:title=""/>
                <w10:wrap type="none" anchorx="margin" anchory="text"/>
              </v:roundrect>
            </w:pict>
          </mc:Fallback>
        </mc:AlternateContent>
      </w: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w:t>
      </w:r>
    </w:p>
    <w:p>
      <w:pPr>
        <w:pStyle w:val="15"/>
        <w:ind w:firstLine="24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エックス線装置等の取扱い、管理又はこれに付随する業務に従事する者で管理区域に立ち入る者、具体的には放射線診療に従事する医師、歯科医師、診療放射線技師、看護師、准看護師、歯科衛生士、臨床検査技師、薬剤師等を言います。</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医政発</w:t>
      </w:r>
      <w:r>
        <w:rPr>
          <w:rFonts w:hint="eastAsia" w:ascii="HG丸ｺﾞｼｯｸM-PRO" w:hAnsi="HG丸ｺﾞｼｯｸM-PRO" w:eastAsia="HG丸ｺﾞｼｯｸM-PRO"/>
          <w:color w:val="000000" w:themeColor="text1"/>
        </w:rPr>
        <w:t>0315</w:t>
      </w:r>
      <w:r>
        <w:rPr>
          <w:rFonts w:hint="eastAsia" w:ascii="HG丸ｺﾞｼｯｸM-PRO" w:hAnsi="HG丸ｺﾞｼｯｸM-PRO" w:eastAsia="HG丸ｺﾞｼｯｸM-PRO"/>
          <w:color w:val="000000" w:themeColor="text1"/>
        </w:rPr>
        <w:t>第</w:t>
      </w:r>
      <w:r>
        <w:rPr>
          <w:rFonts w:hint="eastAsia" w:ascii="HG丸ｺﾞｼｯｸM-PRO" w:hAnsi="HG丸ｺﾞｼｯｸM-PRO" w:eastAsia="HG丸ｺﾞｼｯｸM-PRO"/>
          <w:color w:val="000000" w:themeColor="text1"/>
        </w:rPr>
        <w:t>4</w:t>
      </w:r>
      <w:r>
        <w:rPr>
          <w:rFonts w:hint="eastAsia" w:ascii="HG丸ｺﾞｼｯｸM-PRO" w:hAnsi="HG丸ｺﾞｼｯｸM-PRO" w:eastAsia="HG丸ｺﾞｼｯｸM-PRO"/>
          <w:color w:val="000000" w:themeColor="text1"/>
        </w:rPr>
        <w:t>号</w:t>
      </w:r>
      <w:r>
        <w:rPr>
          <w:rFonts w:hint="eastAsia" w:ascii="HG丸ｺﾞｼｯｸM-PRO" w:hAnsi="HG丸ｺﾞｼｯｸM-PRO" w:eastAsia="HG丸ｺﾞｼｯｸM-PRO"/>
          <w:color w:val="000000" w:themeColor="text1"/>
        </w:rPr>
        <w:t>)</w:t>
      </w:r>
    </w:p>
    <w:p>
      <w:pPr>
        <w:pStyle w:val="15"/>
        <w:ind w:left="360"/>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23495</wp:posOffset>
                </wp:positionV>
                <wp:extent cx="3295650" cy="541655"/>
                <wp:effectExtent l="635" t="635" r="29845" b="10795"/>
                <wp:wrapNone/>
                <wp:docPr id="1030" name="角丸四角形 2"/>
                <a:graphic xmlns:a="http://schemas.openxmlformats.org/drawingml/2006/main">
                  <a:graphicData uri="http://schemas.microsoft.com/office/word/2010/wordprocessingShape">
                    <wps:wsp>
                      <wps:cNvPr id="1030" name="角丸四角形 2"/>
                      <wps:cNvSpPr/>
                      <wps:spPr>
                        <a:xfrm>
                          <a:off x="0" y="0"/>
                          <a:ext cx="329565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5;mso-wrap-distance-left:9pt;width:259.5pt;height:42.65pt;mso-position-horizontal-relative:margin;position:absolute;mso-position-horizontal:left;margin-top:1.85pt;mso-wrap-distance-bottom:0pt;mso-wrap-distance-right:9pt;mso-wrap-distance-top:0pt;v-text-anchor:middle;" o:spid="_x0000_s103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v:textbox>
                <v:imagedata o:title=""/>
                <w10:wrap type="none" anchorx="margin" anchory="text"/>
              </v:roundrect>
            </w:pict>
          </mc:Fallback>
        </mc:AlternateContent>
      </w:r>
    </w:p>
    <w:p>
      <w:pPr>
        <w:pStyle w:val="15"/>
        <w:ind w:left="360"/>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３</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放射線診療従事者の健康管理</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（１）健康診断の対象者</w:t>
      </w:r>
    </w:p>
    <w:p>
      <w:pPr>
        <w:pStyle w:val="15"/>
        <w:ind w:firstLine="220"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sz w:val="22"/>
        </w:rPr>
        <w:t>放射線業務に常時従事する労働者で管理区域に立ち入る者は、特殊業務従事者健康診断を受ける必要が有ります。（電離則第</w:t>
      </w:r>
      <w:r>
        <w:rPr>
          <w:rFonts w:hint="eastAsia" w:ascii="HG丸ｺﾞｼｯｸM-PRO" w:hAnsi="HG丸ｺﾞｼｯｸM-PRO" w:eastAsia="HG丸ｺﾞｼｯｸM-PRO"/>
          <w:color w:val="000000" w:themeColor="text1"/>
          <w:sz w:val="22"/>
        </w:rPr>
        <w:t>56</w:t>
      </w:r>
      <w:r>
        <w:rPr>
          <w:rFonts w:hint="eastAsia" w:ascii="HG丸ｺﾞｼｯｸM-PRO" w:hAnsi="HG丸ｺﾞｼｯｸM-PRO" w:eastAsia="HG丸ｺﾞｼｯｸM-PRO"/>
          <w:color w:val="000000" w:themeColor="text1"/>
          <w:sz w:val="22"/>
        </w:rPr>
        <w:t>条）</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55"/>
        <w:gridCol w:w="3827"/>
        <w:gridCol w:w="2104"/>
      </w:tblGrid>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名称</w:t>
            </w:r>
          </w:p>
        </w:tc>
        <w:tc>
          <w:tcPr>
            <w:tcW w:w="3827"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健診頻度</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個人票保存期間</w:t>
            </w:r>
          </w:p>
        </w:tc>
      </w:tr>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電離放射線健康診断</w:t>
            </w:r>
          </w:p>
        </w:tc>
        <w:tc>
          <w:tcPr>
            <w:tcW w:w="3827" w:type="dxa"/>
            <w:vAlign w:val="center"/>
          </w:tcPr>
          <w:p>
            <w:pPr>
              <w:pStyle w:val="15"/>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雇入れの際</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放射線業務への配置替えの際及び</w:t>
            </w: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か月以内ごとに</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回</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年間</w:t>
            </w:r>
          </w:p>
        </w:tc>
      </w:tr>
    </w:tbl>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電離放射線健康診断</w:t>
      </w:r>
      <w:r>
        <w:rPr>
          <w:rFonts w:hint="eastAsia" w:ascii="HG丸ｺﾞｼｯｸM-PRO" w:hAnsi="HG丸ｺﾞｼｯｸM-PRO" w:eastAsia="HG丸ｺﾞｼｯｸM-PRO"/>
          <w:b w:val="0"/>
          <w:color w:val="000000" w:themeColor="text1"/>
          <w:sz w:val="22"/>
        </w:rPr>
        <w:t>（定期のものに限る）</w:t>
      </w:r>
      <w:r>
        <w:rPr>
          <w:rFonts w:hint="eastAsia" w:ascii="HG丸ｺﾞｼｯｸM-PRO" w:hAnsi="HG丸ｺﾞｼｯｸM-PRO" w:eastAsia="HG丸ｺﾞｼｯｸM-PRO"/>
          <w:color w:val="000000" w:themeColor="text1"/>
          <w:sz w:val="22"/>
        </w:rPr>
        <w:t>を行ったときは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電離放射線健康診断個人票（様式第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号の</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）を作成し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遅滞なく</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電離放射線健康診断結果報告書（様式第</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号）を所轄労働基準監督署長に提出してください。（電離則第</w:t>
      </w:r>
      <w:r>
        <w:rPr>
          <w:rFonts w:hint="eastAsia" w:ascii="HG丸ｺﾞｼｯｸM-PRO" w:hAnsi="HG丸ｺﾞｼｯｸM-PRO" w:eastAsia="HG丸ｺﾞｼｯｸM-PRO"/>
          <w:color w:val="000000" w:themeColor="text1"/>
          <w:sz w:val="22"/>
        </w:rPr>
        <w:t>58</w:t>
      </w:r>
      <w:r>
        <w:rPr>
          <w:rFonts w:hint="eastAsia" w:ascii="HG丸ｺﾞｼｯｸM-PRO" w:hAnsi="HG丸ｺﾞｼｯｸM-PRO" w:eastAsia="HG丸ｺﾞｼｯｸM-PRO"/>
          <w:color w:val="000000" w:themeColor="text1"/>
          <w:sz w:val="22"/>
        </w:rPr>
        <w:t>条）</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厚生労働省の</w:t>
      </w:r>
      <w:r>
        <w:rPr>
          <w:rFonts w:hint="eastAsia" w:ascii="HG丸ｺﾞｼｯｸM-PRO" w:hAnsi="HG丸ｺﾞｼｯｸM-PRO" w:eastAsia="HG丸ｺﾞｼｯｸM-PRO"/>
          <w:color w:val="000000" w:themeColor="text1"/>
          <w:kern w:val="0"/>
          <w:sz w:val="22"/>
        </w:rPr>
        <w:t>H</w:t>
      </w:r>
      <w:r>
        <w:rPr>
          <w:rFonts w:hint="default" w:ascii="HG丸ｺﾞｼｯｸM-PRO" w:hAnsi="HG丸ｺﾞｼｯｸM-PRO" w:eastAsia="HG丸ｺﾞｼｯｸM-PRO"/>
          <w:color w:val="000000" w:themeColor="text1"/>
          <w:kern w:val="0"/>
          <w:sz w:val="22"/>
        </w:rPr>
        <w:t>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https://www.mhlw.go.jp/bunya/roudoukijun/anzeneisei36/10.html</w:t>
      </w:r>
      <w:r>
        <w:rPr>
          <w:rFonts w:hint="eastAsia"/>
        </w:rPr>
        <w:fldChar w:fldCharType="end"/>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（２）健康診断の項目</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ア　問診（放射線の被ばく歴、自覚症状の有無）</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イ　末梢血中の血色素量またはヘマトクリット値</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ウ　赤血球数および白血球数</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エ　白血球百分率</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オ　皮膚</w:t>
      </w:r>
    </w:p>
    <w:p>
      <w:pPr>
        <w:pStyle w:val="0"/>
        <w:snapToGrid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カ　眼</w: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ヶ月ごとの電離放射線健康診断は、一般定期健康診断をきちんと受診している者で前年の被ばく線量が</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を超えず、今後１年間にわたり</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を超える恐れのない場合については医師が必要と認めるときに検査を実施すればよい。しかし、被ばく歴調査と問診は必ず行うこと。</w:t>
      </w:r>
    </w:p>
    <w:p>
      <w:pPr>
        <w:pStyle w:val="0"/>
        <w:rPr>
          <w:rFonts w:hint="default" w:ascii="ＭＳ 明朝" w:hAnsi="ＭＳ 明朝" w:eastAsia="ＭＳ 明朝"/>
          <w:color w:val="000000" w:themeColor="text1"/>
          <w:sz w:val="22"/>
        </w:rPr>
      </w:pPr>
      <w:r>
        <w:rPr>
          <w:rFonts w:hint="eastAsia"/>
          <w:color w:val="000000" w:themeColor="text1"/>
        </w:rPr>
        <mc:AlternateContent>
          <mc:Choice Requires="wps">
            <w:drawing>
              <wp:anchor distT="0" distB="0" distL="114300" distR="114300" simplePos="0" relativeHeight="9" behindDoc="0" locked="0" layoutInCell="1" hidden="0" allowOverlap="1">
                <wp:simplePos x="0" y="0"/>
                <wp:positionH relativeFrom="margin">
                  <wp:align>left</wp:align>
                </wp:positionH>
                <wp:positionV relativeFrom="paragraph">
                  <wp:posOffset>273050</wp:posOffset>
                </wp:positionV>
                <wp:extent cx="3708400" cy="541655"/>
                <wp:effectExtent l="635" t="635" r="29845" b="10795"/>
                <wp:wrapNone/>
                <wp:docPr id="1031" name="角丸四角形 6"/>
                <a:graphic xmlns:a="http://schemas.openxmlformats.org/drawingml/2006/main">
                  <a:graphicData uri="http://schemas.microsoft.com/office/word/2010/wordprocessingShape">
                    <wps:wsp>
                      <wps:cNvPr id="1031" name="角丸四角形 6"/>
                      <wps:cNvSpPr/>
                      <wps:spPr>
                        <a:xfrm>
                          <a:off x="0" y="0"/>
                          <a:ext cx="37084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 style="mso-position-vertical-relative:text;z-index:9;mso-wrap-distance-left:9pt;width:292pt;height:42.65pt;mso-position-horizontal-relative:margin;position:absolute;mso-position-horizontal:left;margin-top:21.5pt;mso-wrap-distance-bottom:0pt;mso-wrap-distance-right:9pt;mso-wrap-distance-top:0pt;v-text-anchor:middle;" o:spid="_x0000_s1031"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kern w:val="2"/>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kern w:val="2"/>
        </w:rPr>
        <w:t>４　</w:t>
      </w:r>
      <w:r>
        <w:rPr>
          <w:rFonts w:hint="eastAsia" w:ascii="HG丸ｺﾞｼｯｸM-PRO" w:hAnsi="HG丸ｺﾞｼｯｸM-PRO" w:eastAsia="HG丸ｺﾞｼｯｸM-PRO"/>
          <w:color w:val="000000" w:themeColor="text1"/>
        </w:rPr>
        <w:t>放射線診療従事者等の被ばく防止（規則第</w:t>
      </w:r>
      <w:r>
        <w:rPr>
          <w:rFonts w:hint="default" w:ascii="HG丸ｺﾞｼｯｸM-PRO" w:hAnsi="HG丸ｺﾞｼｯｸM-PRO" w:eastAsia="HG丸ｺﾞｼｯｸM-PRO"/>
          <w:color w:val="000000" w:themeColor="text1"/>
        </w:rPr>
        <w:t>30</w:t>
      </w:r>
      <w:r>
        <w:rPr>
          <w:rFonts w:hint="eastAsia" w:ascii="HG丸ｺﾞｼｯｸM-PRO" w:hAnsi="HG丸ｺﾞｼｯｸM-PRO" w:eastAsia="HG丸ｺﾞｼｯｸM-PRO"/>
          <w:color w:val="000000" w:themeColor="text1"/>
        </w:rPr>
        <w:t>条の</w:t>
      </w:r>
      <w:r>
        <w:rPr>
          <w:rFonts w:hint="default" w:ascii="HG丸ｺﾞｼｯｸM-PRO" w:hAnsi="HG丸ｺﾞｼｯｸM-PRO" w:eastAsia="HG丸ｺﾞｼｯｸM-PRO"/>
          <w:color w:val="000000" w:themeColor="text1"/>
        </w:rPr>
        <w:t>18</w:t>
      </w:r>
      <w:r>
        <w:rPr>
          <w:rFonts w:hint="eastAsia" w:ascii="HG丸ｺﾞｼｯｸM-PRO" w:hAnsi="HG丸ｺﾞｼｯｸM-PRO" w:eastAsia="HG丸ｺﾞｼｯｸM-PRO"/>
          <w:color w:val="000000" w:themeColor="text1"/>
        </w:rPr>
        <w:t>）</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管理者は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放射線診療従事者等の被ばくする線量が実効線量限度及び等価線量限度を超えないようにしなければなりません。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測定対象</w:t>
      </w:r>
    </w:p>
    <w:p>
      <w:pPr>
        <w:pStyle w:val="15"/>
        <w:snapToGrid w:val="0"/>
        <w:ind w:left="941"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エックス線装置等の取扱い</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管理又はこれに</w:t>
      </w:r>
      <w:r>
        <w:rPr>
          <w:rFonts w:hint="eastAsia" w:ascii="HG丸ｺﾞｼｯｸM-PRO" w:hAnsi="HG丸ｺﾞｼｯｸM-PRO" w:eastAsia="HG丸ｺﾞｼｯｸM-PRO"/>
          <w:b w:val="0"/>
          <w:color w:val="000000" w:themeColor="text1"/>
          <w:sz w:val="22"/>
        </w:rPr>
        <w:t>付随</w:t>
      </w:r>
      <w:r>
        <w:rPr>
          <w:rFonts w:hint="eastAsia" w:ascii="HG丸ｺﾞｼｯｸM-PRO" w:hAnsi="HG丸ｺﾞｼｯｸM-PRO" w:eastAsia="HG丸ｺﾞｼｯｸM-PRO"/>
          <w:color w:val="000000" w:themeColor="text1"/>
          <w:sz w:val="22"/>
        </w:rPr>
        <w:t>する業務に従事する者であって管理区域に立ち入る</w:t>
      </w:r>
      <w:r>
        <w:rPr>
          <w:rFonts w:hint="eastAsia" w:ascii="HG丸ｺﾞｼｯｸM-PRO" w:hAnsi="HG丸ｺﾞｼｯｸM-PRO" w:eastAsia="HG丸ｺﾞｼｯｸM-PRO"/>
          <w:b w:val="0"/>
          <w:color w:val="000000" w:themeColor="text1"/>
          <w:sz w:val="22"/>
        </w:rPr>
        <w:t>もの</w:t>
      </w:r>
      <w:r>
        <w:rPr>
          <w:rFonts w:hint="eastAsia" w:ascii="HG丸ｺﾞｼｯｸM-PRO" w:hAnsi="HG丸ｺﾞｼｯｸM-PRO" w:eastAsia="HG丸ｺﾞｼｯｸM-PRO"/>
          <w:color w:val="000000" w:themeColor="text1"/>
          <w:sz w:val="22"/>
        </w:rPr>
        <w:t>（則第</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条の</w:t>
      </w:r>
      <w:r>
        <w:rPr>
          <w:rFonts w:hint="eastAsia" w:ascii="HG丸ｺﾞｼｯｸM-PRO" w:hAnsi="HG丸ｺﾞｼｯｸM-PRO" w:eastAsia="HG丸ｺﾞｼｯｸM-PRO"/>
          <w:color w:val="000000" w:themeColor="text1"/>
          <w:sz w:val="22"/>
        </w:rPr>
        <w:t>18</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項）</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測定方法</w:t>
      </w:r>
    </w:p>
    <w:p>
      <w:pPr>
        <w:pStyle w:val="0"/>
        <w:autoSpaceDE w:val="0"/>
        <w:autoSpaceDN w:val="0"/>
        <w:adjustRightInd w:val="0"/>
        <w:snapToGrid w:val="0"/>
        <w:spacing w:after="109"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kern w:val="0"/>
          <w:sz w:val="22"/>
        </w:rPr>
        <w:t>実効線量及び等価線量を算出するため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放射線測定器（</w:t>
      </w:r>
      <w:r>
        <w:rPr>
          <w:rFonts w:hint="eastAsia" w:ascii="HG丸ｺﾞｼｯｸM-PRO" w:hAnsi="HG丸ｺﾞｼｯｸM-PRO" w:eastAsia="HG丸ｺﾞｼｯｸM-PRO"/>
          <w:b w:val="0"/>
          <w:color w:val="000000" w:themeColor="text1"/>
          <w:kern w:val="0"/>
          <w:sz w:val="22"/>
        </w:rPr>
        <w:t>ガラスバッジ、ルミネスバッジ</w:t>
      </w:r>
      <w:r>
        <w:rPr>
          <w:rFonts w:hint="eastAsia" w:ascii="HG丸ｺﾞｼｯｸM-PRO" w:hAnsi="HG丸ｺﾞｼｯｸM-PRO" w:eastAsia="HG丸ｺﾞｼｯｸM-PRO"/>
          <w:color w:val="000000" w:themeColor="text1"/>
          <w:kern w:val="0"/>
          <w:sz w:val="22"/>
        </w:rPr>
        <w:t>等の個人被ばく線量計）を一人一人個別に装着して</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管理区域に立ち入っている間継続して外部被ばく線量を測定してください。</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測定部位</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全身が均等に被ばくする場合</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男子および妊娠する可能性がないと診断された女子は胸部、妊娠可能な女子は腹部に装着する。</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不均等被ばくの場合（防護衣を着用する場合など）</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均等被ばくによる測定部位に追加して、頭部・頚部、胸部・上腹部、　腹部・大腿部のうち、最も多く放射線にさらされるおそれのある部位に装着する。</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測定期間</w:t>
      </w:r>
    </w:p>
    <w:p>
      <w:pPr>
        <w:pStyle w:val="15"/>
        <w:snapToGrid w:val="0"/>
        <w:spacing w:before="240" w:beforeLines="0" w:beforeAutospacing="0" w:after="0" w:afterLines="0" w:after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w:t>
      </w:r>
      <w:r>
        <w:rPr>
          <w:rFonts w:hint="eastAsia" w:ascii="HG丸ｺﾞｼｯｸM-PRO" w:hAnsi="HG丸ｺﾞｼｯｸM-PRO" w:eastAsia="HG丸ｺﾞｼｯｸM-PRO"/>
          <w:b w:val="0"/>
          <w:color w:val="000000" w:themeColor="text1"/>
          <w:sz w:val="22"/>
        </w:rPr>
        <w:t>男子</w:t>
      </w:r>
      <w:r>
        <w:rPr>
          <w:rFonts w:hint="eastAsia" w:ascii="HG丸ｺﾞｼｯｸM-PRO" w:hAnsi="HG丸ｺﾞｼｯｸM-PRO" w:eastAsia="HG丸ｺﾞｼｯｸM-PRO"/>
          <w:color w:val="000000" w:themeColor="text1"/>
          <w:sz w:val="22"/>
        </w:rPr>
        <w:t>または妊娠する可能性がないと診断された</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年間において実効線量が</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年につき</w:t>
      </w:r>
      <w:r>
        <w:rPr>
          <w:rFonts w:hint="eastAsia" w:ascii="HG丸ｺﾞｼｯｸM-PRO" w:hAnsi="HG丸ｺﾞｼｯｸM-PRO" w:eastAsia="HG丸ｺﾞｼｯｸM-PRO"/>
          <w:color w:val="000000" w:themeColor="text1"/>
          <w:sz w:val="22"/>
        </w:rPr>
        <w:t>20m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を超えたことがない者は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の実効線量の、</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月間に受ける実効線量が</w:t>
      </w:r>
      <w:r>
        <w:rPr>
          <w:rFonts w:hint="eastAsia" w:ascii="HG丸ｺﾞｼｯｸM-PRO" w:hAnsi="HG丸ｺﾞｼｯｸM-PRO" w:eastAsia="HG丸ｺﾞｼｯｸM-PRO"/>
          <w:color w:val="000000" w:themeColor="text1"/>
          <w:sz w:val="22"/>
        </w:rPr>
        <w:t>1.7m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を超えるおそれのない者にあっては、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ウ　人体の組織別の等価線量の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月ごとおよび</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年ごとの合計</w:t>
      </w:r>
    </w:p>
    <w:p>
      <w:pPr>
        <w:pStyle w:val="15"/>
        <w:snapToGrid w:val="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　</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年ごとは平成</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年ごとに区分した期間、</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ヶ月は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b w:val="0"/>
          <w:color w:val="000000" w:themeColor="text1"/>
          <w:sz w:val="22"/>
        </w:rPr>
        <w:t>3</w:t>
      </w:r>
      <w:r>
        <w:rPr>
          <w:rFonts w:hint="eastAsia" w:ascii="HG丸ｺﾞｼｯｸM-PRO" w:hAnsi="HG丸ｺﾞｼｯｸM-PRO" w:eastAsia="HG丸ｺﾞｼｯｸM-PRO"/>
          <w:b w:val="0"/>
          <w:color w:val="000000" w:themeColor="text1"/>
          <w:sz w:val="22"/>
        </w:rPr>
        <w:t>月間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記録</w:t>
      </w:r>
    </w:p>
    <w:p>
      <w:pPr>
        <w:pStyle w:val="15"/>
        <w:snapToGrid w:val="0"/>
        <w:ind w:left="94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測定対象者および測定者の氏名、測定器の種類、測定方法、測定部位と測定結果</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本人への通知</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測定結果は遅滞なく本人に通知すること。</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防護衣の設置</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b w:val="0"/>
          <w:color w:val="000000" w:themeColor="text1"/>
          <w:sz w:val="22"/>
        </w:rPr>
        <w:t>放射線診療従事者等</w:t>
      </w:r>
      <w:r>
        <w:rPr>
          <w:rFonts w:hint="eastAsia" w:ascii="HG丸ｺﾞｼｯｸM-PRO" w:hAnsi="HG丸ｺﾞｼｯｸM-PRO" w:eastAsia="HG丸ｺﾞｼｯｸM-PRO"/>
          <w:color w:val="000000" w:themeColor="text1"/>
          <w:sz w:val="22"/>
        </w:rPr>
        <w:t>の被ばく防止のため、防護衣等を設置してください。</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（８）記録保存期間</w:t>
      </w:r>
    </w:p>
    <w:p>
      <w:pPr>
        <w:pStyle w:val="15"/>
        <w:snapToGrid w:val="0"/>
        <w:ind w:left="840" w:leftChars="4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測定記録は３０年間保存してください。ただし、</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年間保存したのちに指定記録保存機関に引き渡すときはこの限りではない。</w:t>
      </w: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【指定記録保存機関】</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名称　　　公益財団法人放射線影響協会</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所在地　　東京都千代田区鍛冶町１丁目９番１６号</w:t>
      </w:r>
    </w:p>
    <w:p>
      <w:pPr>
        <w:pStyle w:val="20"/>
        <w:autoSpaceDE w:val="0"/>
        <w:autoSpaceDN w:val="0"/>
        <w:adjustRightInd w:val="0"/>
        <w:snapToGrid w:val="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問合せ先　公益財団法人放射線影響協会放射線業務従事者中央登録センター</w:t>
      </w:r>
    </w:p>
    <w:p>
      <w:pPr>
        <w:pStyle w:val="20"/>
        <w:numPr>
          <w:ilvl w:val="0"/>
          <w:numId w:val="5"/>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tbl>
      <w:tblPr>
        <w:tblStyle w:val="27"/>
        <w:tblW w:w="8274" w:type="dxa"/>
        <w:tblInd w:w="220" w:type="dxa"/>
        <w:tblLayout w:type="fixed"/>
        <w:tblLook w:firstRow="1" w:lastRow="0" w:firstColumn="1" w:lastColumn="0" w:noHBand="0" w:noVBand="1" w:val="04A0"/>
      </w:tblPr>
      <w:tblGrid>
        <w:gridCol w:w="2043"/>
        <w:gridCol w:w="6231"/>
      </w:tblGrid>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実効線量限度</w:t>
            </w:r>
          </w:p>
        </w:tc>
        <w:tc>
          <w:tcPr>
            <w:tcW w:w="6231" w:type="dxa"/>
            <w:vAlign w:val="top"/>
          </w:tcPr>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r>
              <w:rPr>
                <w:rFonts w:hint="eastAsia" w:ascii="HG丸ｺﾞｼｯｸM-PRO" w:hAnsi="HG丸ｺﾞｼｯｸM-PRO" w:eastAsia="HG丸ｺﾞｼｯｸM-PRO"/>
                <w:color w:val="000000" w:themeColor="text1"/>
                <w:kern w:val="0"/>
                <w:sz w:val="22"/>
              </w:rPr>
              <w:t>50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ただし、女子にあっては</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また、妊娠中である女子は、内部被ばくについて１</w:t>
            </w:r>
            <w:r>
              <w:rPr>
                <w:rFonts w:hint="eastAsia" w:ascii="HG丸ｺﾞｼｯｸM-PRO" w:hAnsi="HG丸ｺﾞｼｯｸM-PRO" w:eastAsia="HG丸ｺﾞｼｯｸM-PRO"/>
                <w:color w:val="000000" w:themeColor="text1"/>
                <w:kern w:val="0"/>
                <w:sz w:val="22"/>
              </w:rPr>
              <w:t>m</w:t>
            </w:r>
            <w:r>
              <w:rPr>
                <w:rFonts w:hint="eastAsia" w:ascii="ＭＳ 明朝" w:hAnsi="ＭＳ 明朝" w:eastAsia="ＭＳ 明朝"/>
                <w:color w:val="000000" w:themeColor="text1"/>
                <w:kern w:val="0"/>
                <w:sz w:val="22"/>
              </w:rPr>
              <w:t>㏜</w:t>
            </w:r>
          </w:p>
        </w:tc>
      </w:tr>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等価線量限度</w:t>
            </w:r>
          </w:p>
        </w:tc>
        <w:tc>
          <w:tcPr>
            <w:tcW w:w="6231" w:type="dxa"/>
            <w:vAlign w:val="top"/>
          </w:tcPr>
          <w:p>
            <w:pPr>
              <w:pStyle w:val="0"/>
              <w:autoSpaceDE w:val="0"/>
              <w:autoSpaceDN w:val="0"/>
              <w:adjustRightInd w:val="0"/>
              <w:spacing w:after="0" w:afterLines="0" w:afterAutospacing="0"/>
              <w:ind w:left="3520" w:hanging="3520" w:hangingChars="16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眼の水晶体　　　　　　　　　　</w:t>
            </w: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p>
          <w:p>
            <w:pPr>
              <w:pStyle w:val="0"/>
              <w:autoSpaceDE w:val="0"/>
              <w:autoSpaceDN w:val="0"/>
              <w:adjustRightInd w:val="0"/>
              <w:spacing w:after="0" w:afterLines="0" w:afterAutospacing="0"/>
              <w:ind w:left="3360" w:leftChars="16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50m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皮膚　　　　　　　　　　　　　</w:t>
            </w:r>
            <w:r>
              <w:rPr>
                <w:rFonts w:hint="eastAsia" w:ascii="HG丸ｺﾞｼｯｸM-PRO" w:hAnsi="HG丸ｺﾞｼｯｸM-PRO" w:eastAsia="HG丸ｺﾞｼｯｸM-PRO"/>
                <w:color w:val="000000" w:themeColor="text1"/>
                <w:kern w:val="0"/>
                <w:sz w:val="22"/>
              </w:rPr>
              <w:t>500m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妊娠中である女性の腹部表面　　　</w:t>
            </w:r>
            <w:r>
              <w:rPr>
                <w:rFonts w:hint="eastAsia" w:ascii="HG丸ｺﾞｼｯｸM-PRO" w:hAnsi="HG丸ｺﾞｼｯｸM-PRO" w:eastAsia="HG丸ｺﾞｼｯｸM-PRO"/>
                <w:color w:val="000000" w:themeColor="text1"/>
                <w:kern w:val="0"/>
                <w:sz w:val="22"/>
              </w:rPr>
              <w:t>2m</w:t>
            </w:r>
            <w:r>
              <w:rPr>
                <w:rFonts w:hint="eastAsia" w:ascii="ＭＳ 明朝" w:hAnsi="ＭＳ 明朝" w:eastAsia="ＭＳ 明朝"/>
                <w:color w:val="000000" w:themeColor="text1"/>
                <w:kern w:val="0"/>
                <w:sz w:val="22"/>
              </w:rPr>
              <w:t>㏜</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眼の水晶体：令和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日に改正され、</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年は令和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年ごとに区分した各期間の値</w:t>
      </w:r>
    </w:p>
    <w:p>
      <w:pPr>
        <w:pStyle w:val="20"/>
        <w:ind w:left="360" w:leftChars="0"/>
        <w:rPr>
          <w:rFonts w:hint="default" w:ascii="HG丸ｺﾞｼｯｸM-PRO" w:hAnsi="HG丸ｺﾞｼｯｸM-PRO" w:eastAsia="HG丸ｺﾞｼｯｸM-PRO"/>
          <w:color w:val="000000" w:themeColor="text1"/>
          <w:sz w:val="22"/>
        </w:rPr>
      </w:pPr>
    </w:p>
    <w:p>
      <w:pPr>
        <w:pStyle w:val="0"/>
        <w:rPr>
          <w:rFonts w:hint="default" w:ascii="ＭＳ 明朝" w:hAnsi="ＭＳ 明朝" w:eastAsia="ＭＳ 明朝"/>
          <w:color w:val="000000" w:themeColor="text1"/>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-7620</wp:posOffset>
                </wp:positionV>
                <wp:extent cx="3848735" cy="541655"/>
                <wp:effectExtent l="635" t="635" r="29845" b="10795"/>
                <wp:wrapNone/>
                <wp:docPr id="1032" name="角丸四角形 3"/>
                <a:graphic xmlns:a="http://schemas.openxmlformats.org/drawingml/2006/main">
                  <a:graphicData uri="http://schemas.microsoft.com/office/word/2010/wordprocessingShape">
                    <wps:wsp>
                      <wps:cNvPr id="1032" name="角丸四角形 3"/>
                      <wps:cNvSpPr/>
                      <wps:spPr>
                        <a:xfrm>
                          <a:off x="0" y="0"/>
                          <a:ext cx="38487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6;mso-wrap-distance-left:9pt;width:303.05pt;height:42.65pt;mso-position-horizontal-relative:margin;position:absolute;mso-position-horizontal:left;margin-top:-0.6pt;mso-wrap-distance-bottom:0pt;mso-wrap-distance-right:9pt;mso-wrap-distance-top:0pt;v-text-anchor:middle;" o:spid="_x0000_s103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r>
        <w:rPr>
          <w:rFonts w:hint="eastAsia" w:ascii="ＭＳ 明朝" w:hAnsi="ＭＳ 明朝" w:eastAsia="ＭＳ 明朝"/>
          <w:color w:val="000000" w:themeColor="text1"/>
          <w:kern w:val="0"/>
          <w:sz w:val="22"/>
        </w:rPr>
        <w:t>　　</w:t>
      </w:r>
    </w:p>
    <w:p>
      <w:pPr>
        <w:pStyle w:val="0"/>
        <w:rPr>
          <w:rFonts w:hint="default" w:ascii="ＭＳ 明朝" w:hAnsi="ＭＳ 明朝" w:eastAsia="ＭＳ 明朝"/>
          <w:color w:val="000000" w:themeColor="text1"/>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５</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医療機器の保守点検・安全使用体制（放射線機器を含む）</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医療機器の安全使用のための責任者（医療機器安全管理責任者）の配置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医療機器に関する十分な知識を有する常勤職員で</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薬剤師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看護師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歯科衛生士（歯科診療所に限る）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臨床検査技師又は臨床工学技士のいずれかの資格を有する者を配置する。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b w:val="0"/>
          <w:color w:val="000000" w:themeColor="text1"/>
          <w:kern w:val="0"/>
          <w:sz w:val="22"/>
        </w:rPr>
        <w:t>病院</w:t>
      </w:r>
      <w:r>
        <w:rPr>
          <w:rFonts w:hint="eastAsia" w:ascii="HG丸ｺﾞｼｯｸM-PRO" w:hAnsi="HG丸ｺﾞｼｯｸM-PRO" w:eastAsia="HG丸ｺﾞｼｯｸM-PRO"/>
          <w:color w:val="000000" w:themeColor="text1"/>
          <w:kern w:val="0"/>
          <w:sz w:val="22"/>
        </w:rPr>
        <w:t>管理者との兼任は不可である。（令和３年７月８日付け医政総発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・医政地発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・医政経発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第２号</w:t>
      </w:r>
      <w:r>
        <w:rPr>
          <w:rFonts w:hint="eastAsia" w:ascii="HG丸ｺﾞｼｯｸM-PRO" w:hAnsi="HG丸ｺﾞｼｯｸM-PRO" w:eastAsia="HG丸ｺﾞｼｯｸM-PRO"/>
          <w:color w:val="000000" w:themeColor="text1"/>
          <w:kern w:val="0"/>
          <w:sz w:val="22"/>
        </w:rPr>
        <w:t>厚</w:t>
      </w:r>
      <w:r>
        <w:rPr>
          <w:rFonts w:hint="default" w:ascii="HG丸ｺﾞｼｯｸM-PRO" w:hAnsi="HG丸ｺﾞｼｯｸM-PRO" w:eastAsia="HG丸ｺﾞｼｯｸM-PRO"/>
          <w:color w:val="000000" w:themeColor="text1"/>
          <w:kern w:val="0"/>
          <w:sz w:val="22"/>
        </w:rPr>
        <w:t>生労働省医政局総務課長</w:t>
      </w:r>
      <w:r>
        <w:rPr>
          <w:rFonts w:hint="eastAsia" w:ascii="HG丸ｺﾞｼｯｸM-PRO" w:hAnsi="HG丸ｺﾞｼｯｸM-PRO" w:eastAsia="HG丸ｺﾞｼｯｸM-PRO"/>
          <w:color w:val="000000" w:themeColor="text1"/>
          <w:kern w:val="0"/>
          <w:sz w:val="22"/>
        </w:rPr>
        <w:t>・厚生労働省医政局地域医療計画課長・厚</w:t>
      </w:r>
      <w:r>
        <w:rPr>
          <w:rFonts w:hint="default" w:ascii="HG丸ｺﾞｼｯｸM-PRO" w:hAnsi="HG丸ｺﾞｼｯｸM-PRO" w:eastAsia="HG丸ｺﾞｼｯｸM-PRO"/>
          <w:color w:val="000000" w:themeColor="text1"/>
          <w:kern w:val="0"/>
          <w:sz w:val="22"/>
        </w:rPr>
        <w:t>生労働省医政局経済課長</w:t>
      </w:r>
      <w:r>
        <w:rPr>
          <w:rFonts w:hint="eastAsia" w:ascii="HG丸ｺﾞｼｯｸM-PRO" w:hAnsi="HG丸ｺﾞｼｯｸM-PRO" w:eastAsia="HG丸ｺﾞｼｯｸM-PRO"/>
          <w:color w:val="000000" w:themeColor="text1"/>
          <w:kern w:val="0"/>
          <w:sz w:val="22"/>
        </w:rPr>
        <w:t>連名通知）</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従業者に対する医療機器の安全使用のための研修の実施</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医療機器安全管理責任者</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新しい医療機器を導入する際には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使用する予定の者に対する研修を行い</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研修項目）について記録する。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（３）医療機器の保守点検に関する計画の策定及び保守点検を実施する。</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保守点検計画の策定</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添付文書に記載されている保守点検に関する事項をもとに機種別に保守点検内容、保守点検の時期等を記載した保守点検計画を策定する。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保守点検の実施</w:t>
      </w:r>
    </w:p>
    <w:p>
      <w:pPr>
        <w:pStyle w:val="0"/>
        <w:autoSpaceDE w:val="0"/>
        <w:autoSpaceDN w:val="0"/>
        <w:adjustRightInd w:val="0"/>
        <w:snapToGrid w:val="0"/>
        <w:spacing w:after="109" w:afterLines="0" w:afterAutospacing="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保守点検の実施状況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使用状況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修理状況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購入年等を把握記録し、必要に応じて保守点検計画の見直しを行う。</w:t>
      </w: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（４）医療機器の安全使用を目的とした改善のためにつぎの方策を行う。</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添付文書等の保管</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医療機器の添付文書</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取扱説明書等の医療機器の安全使用・保守点検等に関する情報を整理し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その管理を行ってください。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不具合情報等の収集</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医療機器の不具合情報や安全使用のために必要な情報を収集し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得られた情報を従業者に対して適切に情報提供してください。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管理している医療機器の不具合や健康被害等に関する内外の情報収集に努めるとともに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管理者への報告等を行ってください。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7" behindDoc="0" locked="0" layoutInCell="1" hidden="0" allowOverlap="1">
                <wp:simplePos x="0" y="0"/>
                <wp:positionH relativeFrom="margin">
                  <wp:align>left</wp:align>
                </wp:positionH>
                <wp:positionV relativeFrom="paragraph">
                  <wp:posOffset>-7620</wp:posOffset>
                </wp:positionV>
                <wp:extent cx="2785110" cy="541655"/>
                <wp:effectExtent l="635" t="635" r="29845" b="10795"/>
                <wp:wrapNone/>
                <wp:docPr id="1033" name="角丸四角形 4"/>
                <a:graphic xmlns:a="http://schemas.openxmlformats.org/drawingml/2006/main">
                  <a:graphicData uri="http://schemas.microsoft.com/office/word/2010/wordprocessingShape">
                    <wps:wsp>
                      <wps:cNvPr id="1033" name="角丸四角形 4"/>
                      <wps:cNvSpPr/>
                      <wps:spPr>
                        <a:xfrm>
                          <a:off x="0" y="0"/>
                          <a:ext cx="278511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position-vertical-relative:text;z-index:7;mso-wrap-distance-left:9pt;width:219.3pt;height:42.65pt;mso-position-horizontal-relative:margin;position:absolute;mso-position-horizontal:left;margin-top:-0.6pt;mso-wrap-distance-bottom:0pt;mso-wrap-distance-right:9pt;mso-wrap-distance-top:0pt;v-text-anchor:middle;" o:spid="_x0000_s1033" o:allowincell="t" o:allowoverlap="t" filled="t" fillcolor="#d9d9d9 [2732]" stroked="t" strokecolor="#42709c" strokeweight="1pt" o:spt="2" arcsize="10923f">
                <v:fill/>
                <v:stroke linestyle="single" miterlimit="8" endcap="flat" dashstyle="solid" filltype="solid"/>
                <v:textbox style="layout-flow:horizontal;">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６　診療用放射線の安全管理体制</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診療所の管理者は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次に掲げる放射線の安全管理のための体制を確保しなければなりません。（則第１条の１１第２項第３号の２）</w:t>
      </w:r>
    </w:p>
    <w:p>
      <w:pPr>
        <w:pStyle w:val="0"/>
        <w:autoSpaceDE w:val="0"/>
        <w:autoSpaceDN w:val="0"/>
        <w:adjustRightInd w:val="0"/>
        <w:snapToGri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医療法施行規則の一部を改正する省令の施行等について</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（平成３１年３月１２日医政発０３１２第７号）</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診療用放射線の安全利用のための指針策定に関するガイドラインについて（令和元年１０月３日医政地発１００３第５号）</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診療用放射線に係る安全管理のための責任者（医療放射線安全管理責任者）の配置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診療用放射線の安全管理に関する十分な知識を有する常勤職員で</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原則として医師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歯科医師のいずれかの資格を有する者を配置してください。ただし</w:t>
      </w: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診療所における常勤の医師又は歯科医師が診療放射線技師に対して適切な指示を行う体制を確保している場合に限り</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診療放射線技師を責任者としても差し支えありません。</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診療用放射線の安全管理のための指針の策定</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次に掲げる事項を文書化した「診療用放射線安全管理指針」を策定し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従業者に対して周知徹底してください。また，当該指針については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定期的に内容を見直し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改定するとともに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改定日・改定内容等を記録してください。</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診療用放射線の安全利用に関する基本的考え方</w:t>
      </w:r>
    </w:p>
    <w:p>
      <w:pPr>
        <w:pStyle w:val="0"/>
        <w:autoSpaceDE w:val="0"/>
        <w:autoSpaceDN w:val="0"/>
        <w:adjustRightInd w:val="0"/>
        <w:snapToGrid w:val="0"/>
        <w:spacing w:after="109"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放射線診療に従事する者に対する診療用放射線の安全利用のための研修に関する基本方針</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診療用放射線の安全利用を目的とした改善のための方策に関する基本方針</w:t>
      </w:r>
    </w:p>
    <w:p>
      <w:pPr>
        <w:pStyle w:val="0"/>
        <w:autoSpaceDE w:val="0"/>
        <w:autoSpaceDN w:val="0"/>
        <w:adjustRightInd w:val="0"/>
        <w:snapToGrid w:val="0"/>
        <w:spacing w:after="0"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放射線の過剰被ばくその他の放射線に関する事例発生時の対応に関する基本方針</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医療従事者と患者間の情報共有に関する基本方針（患者等に対する当該指針の閲覧に関する基本方針を含む。）</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870" w:leftChars="10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　</w:t>
      </w:r>
    </w:p>
    <w:p>
      <w:pPr>
        <w:pStyle w:val="0"/>
        <w:autoSpaceDE w:val="0"/>
        <w:autoSpaceDN w:val="0"/>
        <w:adjustRightInd w:val="0"/>
        <w:snapToGrid w:val="0"/>
        <w:spacing w:after="0" w:afterLines="0" w:afterAutospacing="0"/>
        <w:ind w:left="860" w:leftChars="2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診療用放射線の安全利用のための指針のモデルは以下の</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に掲載されています</w:t>
      </w:r>
    </w:p>
    <w:p>
      <w:pPr>
        <w:pStyle w:val="0"/>
        <w:autoSpaceDE w:val="0"/>
        <w:autoSpaceDN w:val="0"/>
        <w:adjustRightInd w:val="0"/>
        <w:snapToGrid w:val="0"/>
        <w:spacing w:after="0" w:afterLines="0" w:afterAutospacing="0"/>
        <w:ind w:left="1750" w:leftChars="100" w:hanging="1540" w:hangingChars="7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日本医師会の</w:t>
      </w:r>
      <w:r>
        <w:rPr>
          <w:rFonts w:hint="default" w:ascii="HG丸ｺﾞｼｯｸM-PRO" w:hAnsi="HG丸ｺﾞｼｯｸM-PRO" w:eastAsia="HG丸ｺﾞｼｯｸM-PRO"/>
          <w:color w:val="000000" w:themeColor="text1"/>
          <w:kern w:val="0"/>
          <w:sz w:val="22"/>
        </w:rPr>
        <w:t xml:space="preserve">HP </w:t>
      </w:r>
      <w:r>
        <w:rPr>
          <w:rFonts w:hint="eastAsia" w:ascii="HG丸ｺﾞｼｯｸM-PRO" w:hAnsi="HG丸ｺﾞｼｯｸM-PRO" w:eastAsia="HG丸ｺﾞｼｯｸM-PRO"/>
          <w:color w:val="000000" w:themeColor="text1"/>
          <w:kern w:val="0"/>
          <w:sz w:val="22"/>
        </w:rPr>
        <w:t>（</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http://www.med.or.jp/doctor/sien/s_sien/008991.html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日本放射線技師会</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　（</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http://www.jart.jp/activity/anzenriyou_guideline.html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（３）放射線診療に従業する者に対する診療用放射線の安全利用のための研修の実</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施</w:t>
      </w:r>
    </w:p>
    <w:p>
      <w:pPr>
        <w:pStyle w:val="0"/>
        <w:autoSpaceDE w:val="0"/>
        <w:autoSpaceDN w:val="0"/>
        <w:adjustRightInd w:val="0"/>
        <w:snapToGrid w:val="0"/>
        <w:spacing w:before="240" w:beforeLines="0" w:before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医療放射線安全管理責任者は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放射線診療に従事する者に対し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次に掲げる事項を含む研修を実施してください。なお</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他の医療安全に係る研修と併せて実施しても差し支えありません。また</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院外での研修を受講することでも代用できます。</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患者の医療被ばくの基本的な考え方に関する事項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放射線診療の正当化に関する事項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患者の医療被ばくの防護の最適化に関する事項</w:t>
      </w:r>
    </w:p>
    <w:p>
      <w:pPr>
        <w:pStyle w:val="0"/>
        <w:autoSpaceDE w:val="0"/>
        <w:autoSpaceDN w:val="0"/>
        <w:adjustRightInd w:val="0"/>
        <w:snapToGrid w:val="0"/>
        <w:spacing w:after="0" w:afterLines="0" w:afterAutospacing="0"/>
        <w:ind w:left="1336" w:leftChars="322"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放射線の過剰被ばくその他の放射線診療に関する事例発生時の対応等に関する事項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患者への情報提供に関する事項</w:t>
      </w:r>
    </w:p>
    <w:p>
      <w:pPr>
        <w:pStyle w:val="0"/>
        <w:autoSpaceDE w:val="0"/>
        <w:autoSpaceDN w:val="0"/>
        <w:adjustRightInd w:val="0"/>
        <w:snapToGrid w:val="0"/>
        <w:spacing w:before="240" w:beforeLines="0" w:before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研修の頻度</w:t>
      </w:r>
    </w:p>
    <w:p>
      <w:pPr>
        <w:pStyle w:val="0"/>
        <w:autoSpaceDE w:val="0"/>
        <w:autoSpaceDN w:val="0"/>
        <w:adjustRightInd w:val="0"/>
        <w:snapToGrid w:val="0"/>
        <w:ind w:firstLine="880" w:firstLine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年１回以上に開催するほか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必要に応じて開催してください。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研修の記録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研修の実施内容（開催又は受講日時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研修項目）について記録してください。</w:t>
      </w: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被ばく線量の管理及び記録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放射線診療を受ける者の当該放射線による被ばく線量の管理及び記録その他の診療用放射線の安全利用を目的とした改善のための方策として医療放射線安全管理責任者は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次に掲げる事項を行って下さい。</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関係学会が策定したガイドライン等に則り、診断参考レベル（ＤＲＬ）を活用して線量を評価し、診療目的や画質等に関しても十分に考慮した上で、最適化を定期的に行う。</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参考資料として、日本の診断参考レベル</w:t>
      </w:r>
      <w:r>
        <w:rPr>
          <w:rFonts w:hint="eastAsia" w:ascii="HG丸ｺﾞｼｯｸM-PRO" w:hAnsi="HG丸ｺﾞｼｯｸM-PRO" w:eastAsia="HG丸ｺﾞｼｯｸM-PRO"/>
          <w:b w:val="0"/>
          <w:color w:val="000000" w:themeColor="text1"/>
          <w:kern w:val="0"/>
          <w:sz w:val="22"/>
        </w:rPr>
        <w:t>(DRLs)</w:t>
      </w:r>
      <w:r>
        <w:rPr>
          <w:rFonts w:hint="eastAsia" w:ascii="HG丸ｺﾞｼｯｸM-PRO" w:hAnsi="HG丸ｺﾞｼｯｸM-PRO" w:eastAsia="HG丸ｺﾞｼｯｸM-PRO"/>
          <w:b w:val="0"/>
          <w:color w:val="000000" w:themeColor="text1"/>
          <w:kern w:val="0"/>
          <w:sz w:val="22"/>
        </w:rPr>
        <w:t>をご参照ください</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spacing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線量管理・線量記録</w:t>
      </w:r>
    </w:p>
    <w:p>
      <w:pPr>
        <w:pStyle w:val="0"/>
        <w:autoSpaceDE w:val="0"/>
        <w:autoSpaceDN w:val="0"/>
        <w:adjustRightInd w:val="0"/>
        <w:snapToGrid w:val="0"/>
        <w:spacing w:after="109" w:afterLines="0" w:afterAutospacing="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以下にあげる管理・記録対象医療機器を用いて診療に当たった際は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被ばく線量を適正に管理し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記録すること。</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組合せ型循環器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・全身用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組合せ型ポジトロン</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w:t>
      </w:r>
      <w:r>
        <w:rPr>
          <w:rFonts w:hint="default" w:ascii="HG丸ｺﾞｼｯｸM-PRO" w:hAnsi="HG丸ｺﾞｼｯｸM-PRO" w:eastAsia="HG丸ｺﾞｼｯｸM-PRO"/>
          <w:color w:val="000000" w:themeColor="text1"/>
          <w:kern w:val="0"/>
          <w:sz w:val="22"/>
        </w:rPr>
        <w:t>SPECT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・陽電子断層撮影診療用放射線同位元素</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・診療用放射性同位元素</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その他の放射線診療機器等による診療においても</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医療被ばく線量管理及び記録を行うことが望ましい。</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下記に掲げるいずれかに記載することをもって線量記録とすることができる。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〔線量記録とすることができるもの〕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・医師法（昭和</w:t>
      </w:r>
      <w:r>
        <w:rPr>
          <w:rFonts w:hint="default" w:ascii="HG丸ｺﾞｼｯｸM-PRO" w:hAnsi="HG丸ｺﾞｼｯｸM-PRO" w:eastAsia="HG丸ｺﾞｼｯｸM-PRO"/>
          <w:color w:val="000000" w:themeColor="text1"/>
          <w:kern w:val="0"/>
          <w:sz w:val="22"/>
        </w:rPr>
        <w:t xml:space="preserve">23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201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24 </w:t>
      </w:r>
      <w:r>
        <w:rPr>
          <w:rFonts w:hint="eastAsia" w:ascii="HG丸ｺﾞｼｯｸM-PRO" w:hAnsi="HG丸ｺﾞｼｯｸM-PRO" w:eastAsia="HG丸ｺﾞｼｯｸM-PRO"/>
          <w:color w:val="000000" w:themeColor="text1"/>
          <w:kern w:val="0"/>
          <w:sz w:val="22"/>
        </w:rPr>
        <w:t>条に定める診療録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・診療放射線技師法（昭和</w:t>
      </w:r>
      <w:r>
        <w:rPr>
          <w:rFonts w:hint="default" w:ascii="HG丸ｺﾞｼｯｸM-PRO" w:hAnsi="HG丸ｺﾞｼｯｸM-PRO" w:eastAsia="HG丸ｺﾞｼｯｸM-PRO"/>
          <w:color w:val="000000" w:themeColor="text1"/>
          <w:kern w:val="0"/>
          <w:sz w:val="22"/>
        </w:rPr>
        <w:t xml:space="preserve">26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226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28 </w:t>
      </w:r>
      <w:r>
        <w:rPr>
          <w:rFonts w:hint="eastAsia" w:ascii="HG丸ｺﾞｼｯｸM-PRO" w:hAnsi="HG丸ｺﾞｼｯｸM-PRO" w:eastAsia="HG丸ｺﾞｼｯｸM-PRO"/>
          <w:color w:val="000000" w:themeColor="text1"/>
          <w:kern w:val="0"/>
          <w:sz w:val="22"/>
        </w:rPr>
        <w:t>条に定める照射録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・医療法施行規則第</w:t>
      </w:r>
      <w:r>
        <w:rPr>
          <w:rFonts w:hint="default" w:ascii="HG丸ｺﾞｼｯｸM-PRO" w:hAnsi="HG丸ｺﾞｼｯｸM-PRO" w:eastAsia="HG丸ｺﾞｼｯｸM-PRO"/>
          <w:color w:val="000000" w:themeColor="text1"/>
          <w:kern w:val="0"/>
          <w:sz w:val="22"/>
        </w:rPr>
        <w:t xml:space="preserve">20 </w:t>
      </w:r>
      <w:r>
        <w:rPr>
          <w:rFonts w:hint="eastAsia" w:ascii="HG丸ｺﾞｼｯｸM-PRO" w:hAnsi="HG丸ｺﾞｼｯｸM-PRO" w:eastAsia="HG丸ｺﾞｼｯｸM-PRO"/>
          <w:color w:val="000000" w:themeColor="text1"/>
          <w:kern w:val="0"/>
          <w:sz w:val="22"/>
        </w:rPr>
        <w:t>条第</w:t>
      </w:r>
      <w:r>
        <w:rPr>
          <w:rFonts w:hint="default" w:ascii="HG丸ｺﾞｼｯｸM-PRO" w:hAnsi="HG丸ｺﾞｼｯｸM-PRO" w:eastAsia="HG丸ｺﾞｼｯｸM-PRO"/>
          <w:color w:val="000000" w:themeColor="text1"/>
          <w:kern w:val="0"/>
          <w:sz w:val="22"/>
        </w:rPr>
        <w:t xml:space="preserve">10 </w:t>
      </w:r>
      <w:r>
        <w:rPr>
          <w:rFonts w:hint="eastAsia" w:ascii="HG丸ｺﾞｼｯｸM-PRO" w:hAnsi="HG丸ｺﾞｼｯｸM-PRO" w:eastAsia="HG丸ｺﾞｼｯｸM-PRO"/>
          <w:color w:val="000000" w:themeColor="text1"/>
          <w:kern w:val="0"/>
          <w:sz w:val="22"/>
        </w:rPr>
        <w:t>号に定めるエックス線写真</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〔線量記録様式例〕</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・線量管理システムに線量情報を保存</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・撮影装置で生成された線量記録画像を画像サーバに保存</w:t>
      </w:r>
    </w:p>
    <w:p>
      <w:pPr>
        <w:pStyle w:val="0"/>
        <w:autoSpaceDE w:val="0"/>
        <w:autoSpaceDN w:val="0"/>
        <w:adjustRightInd w:val="0"/>
        <w:snapToGrid w:val="0"/>
        <w:spacing w:after="0" w:afterLines="0" w:afterAutospacing="0"/>
        <w:ind w:left="850" w:leftChars="3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・撮影装置に表示された線量指標を放射線情報システム等（ＨＩＳ・ＲＩＳ）に入力</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w:t>
      </w:r>
      <w:r>
        <w:rPr>
          <w:rFonts w:hint="default" w:ascii="HG丸ｺﾞｼｯｸM-PRO" w:hAnsi="HG丸ｺﾞｼｯｸM-PRO" w:eastAsia="HG丸ｺﾞｼｯｸM-PRO"/>
          <w:color w:val="000000" w:themeColor="text1"/>
          <w:kern w:val="0"/>
          <w:sz w:val="22"/>
        </w:rPr>
        <w:t xml:space="preserve">X </w:t>
      </w:r>
      <w:r>
        <w:rPr>
          <w:rFonts w:hint="eastAsia" w:ascii="HG丸ｺﾞｼｯｸM-PRO" w:hAnsi="HG丸ｺﾞｼｯｸM-PRO" w:eastAsia="HG丸ｺﾞｼｯｸM-PRO"/>
          <w:color w:val="000000" w:themeColor="text1"/>
          <w:kern w:val="0"/>
          <w:sz w:val="22"/>
        </w:rPr>
        <w:t>線フィルムに記録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・撮影装置に表示された線量指標を照射録に記載</w:t>
      </w:r>
    </w:p>
    <w:p>
      <w:pPr>
        <w:pStyle w:val="0"/>
        <w:autoSpaceDE w:val="0"/>
        <w:autoSpaceDN w:val="0"/>
        <w:adjustRightInd w:val="0"/>
        <w:snapToGrid w:val="0"/>
        <w:spacing w:before="240" w:beforeLines="0" w:before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診療用放射線に関する情報等の収集と報告</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行政機関</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学術誌等から診療用放射線に関する情報を広く収集するとともに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得られた情報のうち必要なものは放射線診療従事者に周知徹底すること。</w:t>
      </w: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2"/>
        </w:rPr>
      </w:pPr>
    </w:p>
    <w:p>
      <w:pPr>
        <w:pStyle w:val="0"/>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5080</wp:posOffset>
                </wp:positionV>
                <wp:extent cx="1020445" cy="532765"/>
                <wp:effectExtent l="635" t="635" r="29845" b="10795"/>
                <wp:wrapNone/>
                <wp:docPr id="1034" name="角丸四角形 5"/>
                <a:graphic xmlns:a="http://schemas.openxmlformats.org/drawingml/2006/main">
                  <a:graphicData uri="http://schemas.microsoft.com/office/word/2010/wordprocessingShape">
                    <wps:wsp>
                      <wps:cNvPr id="1034" name="角丸四角形 5"/>
                      <wps:cNvSpPr/>
                      <wps:spPr>
                        <a:xfrm>
                          <a:off x="0" y="0"/>
                          <a:ext cx="1020445" cy="53276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8;mso-wrap-distance-left:9pt;width:80.34pt;height:41.95pt;mso-position-horizontal-relative:margin;position:absolute;mso-position-horizontal:left;margin-top:0.4pt;mso-wrap-distance-bottom:0pt;mso-wrap-distance-right:9pt;mso-wrap-distance-top:0pt;v-text-anchor:middle;" o:spid="_x0000_s103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７　照射録の管理</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放射線を人体に対して照射したときは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遅滞なく下記の事項を記載した照射録を作成し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その照射について指示をした医師又は歯科医師の署名を受けなければなりません。（</w:t>
      </w:r>
      <w:r>
        <w:rPr>
          <w:rFonts w:hint="eastAsia" w:ascii="HG丸ｺﾞｼｯｸM-PRO" w:hAnsi="HG丸ｺﾞｼｯｸM-PRO" w:eastAsia="HG丸ｺﾞｼｯｸM-PRO"/>
          <w:b w:val="0"/>
          <w:color w:val="000000" w:themeColor="text1"/>
          <w:kern w:val="0"/>
          <w:sz w:val="22"/>
        </w:rPr>
        <w:t>診療放射線技師法</w:t>
      </w:r>
      <w:r>
        <w:rPr>
          <w:rFonts w:hint="eastAsia" w:ascii="HG丸ｺﾞｼｯｸM-PRO" w:hAnsi="HG丸ｺﾞｼｯｸM-PRO" w:eastAsia="HG丸ｺﾞｼｯｸM-PRO"/>
          <w:color w:val="000000" w:themeColor="text1"/>
          <w:kern w:val="0"/>
          <w:sz w:val="22"/>
        </w:rPr>
        <w:t>第２８条第１項）</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ind w:firstLine="22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　記載事項（</w:t>
      </w:r>
      <w:r>
        <w:rPr>
          <w:rFonts w:hint="eastAsia" w:ascii="HG丸ｺﾞｼｯｸM-PRO" w:hAnsi="HG丸ｺﾞｼｯｸM-PRO" w:eastAsia="HG丸ｺﾞｼｯｸM-PRO"/>
          <w:b w:val="0"/>
          <w:color w:val="000000" w:themeColor="text1"/>
          <w:kern w:val="0"/>
          <w:sz w:val="22"/>
        </w:rPr>
        <w:t>診療放射線技師法施行規則</w:t>
      </w:r>
      <w:r>
        <w:rPr>
          <w:rFonts w:hint="eastAsia" w:ascii="HG丸ｺﾞｼｯｸM-PRO" w:hAnsi="HG丸ｺﾞｼｯｸM-PRO" w:eastAsia="HG丸ｺﾞｼｯｸM-PRO"/>
          <w:color w:val="000000" w:themeColor="text1"/>
          <w:kern w:val="0"/>
          <w:sz w:val="22"/>
        </w:rPr>
        <w:t>第１６条）</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照射を受けた者の氏名</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性別及び年齢</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照射の年月日</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照射の方法</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具体的にかつ精細に記載する</w:t>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指示を受けた医師又は歯科医師の氏名及びその指示の内容</w:t>
      </w:r>
    </w:p>
    <w:p>
      <w:pPr>
        <w:pStyle w:val="0"/>
        <w:autoSpaceDE w:val="0"/>
        <w:autoSpaceDN w:val="0"/>
        <w:adjustRightInd w:val="0"/>
        <w:spacing w:before="240" w:beforeLines="0" w:before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（２）　記載上の注意事項</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照射を受けた者の氏名、性別および年齢は省略できません。</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イ　照射の方法は、使用したエックス線管電圧、時間（フォトタイマ使用の場合は</w:t>
      </w:r>
      <w:r>
        <w:rPr>
          <w:rFonts w:hint="eastAsia" w:ascii="HG丸ｺﾞｼｯｸM-PRO" w:hAnsi="HG丸ｺﾞｼｯｸM-PRO" w:eastAsia="HG丸ｺﾞｼｯｸM-PRO"/>
          <w:b w:val="0"/>
          <w:color w:val="000000" w:themeColor="text1"/>
          <w:kern w:val="0"/>
          <w:sz w:val="22"/>
        </w:rPr>
        <w:t>実効稼働負荷</w:t>
      </w:r>
      <w:r>
        <w:rPr>
          <w:rFonts w:hint="eastAsia" w:ascii="HG丸ｺﾞｼｯｸM-PRO" w:hAnsi="HG丸ｺﾞｼｯｸM-PRO" w:eastAsia="HG丸ｺﾞｼｯｸM-PRO"/>
          <w:color w:val="000000" w:themeColor="text1"/>
          <w:kern w:val="0"/>
          <w:sz w:val="22"/>
        </w:rPr>
        <w:t>または「フォトタイマ使用」と記入）を記載する。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ウ　照射指示の内容は、照射の部位、方向など照射するのに必要な事項を記載する。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エ　作成した照射録には、指示した医師または歯科医師の署名が必要、照射した放射線技師の署名もあると良い。なお、電子署名法に適合している電子署名を行うことで、記名押印をなされたものとみなすことが出来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オ　医師自ら照射した場合、照射録は必要ではない。しかし、医師自ら撮影する場合にあっても使用時間等の記載が望まれることや人体に照射する放射線診療機器の線量管理および線量記録が求められるようになってきており、運用上照射録に準ずる記録が必要とされている。</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kern w:val="0"/>
        </w:rPr>
        <w:t>《注》エックス線装置の操作資格者</w:t>
      </w:r>
    </w:p>
    <w:p>
      <w:pPr>
        <w:pStyle w:val="0"/>
        <w:autoSpaceDE w:val="0"/>
        <w:autoSpaceDN w:val="0"/>
        <w:adjustRightInd w:val="0"/>
        <w:spacing w:after="0" w:afterLines="0" w:afterAutospacing="0"/>
        <w:ind w:firstLine="630" w:firstLineChars="300"/>
        <w:jc w:val="left"/>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・医師又は歯科医師</w:t>
      </w:r>
    </w:p>
    <w:p>
      <w:pPr>
        <w:pStyle w:val="0"/>
        <w:autoSpaceDE w:val="0"/>
        <w:autoSpaceDN w:val="0"/>
        <w:adjustRightInd w:val="0"/>
        <w:spacing w:after="0" w:afterLines="0" w:afterAutospacing="0"/>
        <w:ind w:firstLine="630" w:firstLineChars="300"/>
        <w:jc w:val="left"/>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・診療放射線技師又は診療エックス線技師（医師又は歯科医師の指示の下）</w:t>
      </w:r>
    </w:p>
    <w:p>
      <w:pPr>
        <w:pStyle w:val="0"/>
        <w:autoSpaceDE w:val="0"/>
        <w:autoSpaceDN w:val="0"/>
        <w:adjustRightInd w:val="0"/>
        <w:spacing w:after="0" w:afterLines="0" w:afterAutospacing="0"/>
        <w:ind w:left="840" w:leftChars="400" w:firstLine="211" w:firstLineChars="100"/>
        <w:jc w:val="left"/>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b w:val="0"/>
          <w:color w:val="000000" w:themeColor="text1"/>
          <w:kern w:val="0"/>
        </w:rPr>
        <w:t>上記以外の者</w:t>
      </w:r>
      <w:r>
        <w:rPr>
          <w:rFonts w:hint="eastAsia" w:ascii="HG丸ｺﾞｼｯｸM-PRO" w:hAnsi="HG丸ｺﾞｼｯｸM-PRO" w:eastAsia="HG丸ｺﾞｼｯｸM-PRO"/>
          <w:color w:val="000000" w:themeColor="text1"/>
          <w:kern w:val="0"/>
        </w:rPr>
        <w:t>は、医師の指示の下でもエックス線装置の操作をすることは認められていません〔診療放射線技師法第</w:t>
      </w:r>
      <w:r>
        <w:rPr>
          <w:rFonts w:hint="default" w:ascii="HG丸ｺﾞｼｯｸM-PRO" w:hAnsi="HG丸ｺﾞｼｯｸM-PRO" w:eastAsia="HG丸ｺﾞｼｯｸM-PRO"/>
          <w:color w:val="000000" w:themeColor="text1"/>
          <w:kern w:val="0"/>
        </w:rPr>
        <w:t>24</w:t>
      </w:r>
      <w:r>
        <w:rPr>
          <w:rFonts w:hint="eastAsia" w:ascii="HG丸ｺﾞｼｯｸM-PRO" w:hAnsi="HG丸ｺﾞｼｯｸM-PRO" w:eastAsia="HG丸ｺﾞｼｯｸM-PRO"/>
          <w:color w:val="000000" w:themeColor="text1"/>
          <w:kern w:val="0"/>
        </w:rPr>
        <w:t>条〕。</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0" behindDoc="0" locked="0" layoutInCell="1" hidden="0" allowOverlap="1">
                <wp:simplePos x="0" y="0"/>
                <wp:positionH relativeFrom="margin">
                  <wp:align>left</wp:align>
                </wp:positionH>
                <wp:positionV relativeFrom="paragraph">
                  <wp:posOffset>21590</wp:posOffset>
                </wp:positionV>
                <wp:extent cx="1977390" cy="515620"/>
                <wp:effectExtent l="635" t="635" r="29845" b="10795"/>
                <wp:wrapNone/>
                <wp:docPr id="1035" name="角丸四角形 7"/>
                <a:graphic xmlns:a="http://schemas.openxmlformats.org/drawingml/2006/main">
                  <a:graphicData uri="http://schemas.microsoft.com/office/word/2010/wordprocessingShape">
                    <wps:wsp>
                      <wps:cNvPr id="1035" name="角丸四角形 7"/>
                      <wps:cNvSpPr/>
                      <wps:spPr>
                        <a:xfrm>
                          <a:off x="0" y="0"/>
                          <a:ext cx="1977390" cy="5156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position-vertical-relative:text;z-index:10;mso-wrap-distance-left:9pt;width:155.69pt;height:40.6pt;mso-position-horizontal-relative:margin;position:absolute;mso-position-horizontal:left;margin-top:1.7pt;mso-wrap-distance-bottom:0pt;mso-wrap-distance-right:9pt;mso-wrap-distance-top:0pt;v-text-anchor:middle;" o:spid="_x0000_s103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８　管理区域の設定等</w:t>
      </w:r>
    </w:p>
    <w:p>
      <w:pPr>
        <w:pStyle w:val="20"/>
        <w:numPr>
          <w:ilvl w:val="0"/>
          <w:numId w:val="6"/>
        </w:numPr>
        <w:autoSpaceDE w:val="0"/>
        <w:autoSpaceDN w:val="0"/>
        <w:adjustRightIn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管理区域の設定</w:t>
      </w:r>
    </w:p>
    <w:p>
      <w:pPr>
        <w:pStyle w:val="0"/>
        <w:autoSpaceDE w:val="0"/>
        <w:autoSpaceDN w:val="0"/>
        <w:adjustRightIn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外部放射線量の</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が</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月間で</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ミリシーベルト</w:t>
      </w:r>
      <w:r>
        <w:rPr>
          <w:rFonts w:hint="eastAsia" w:ascii="HG丸ｺﾞｼｯｸM-PRO" w:hAnsi="HG丸ｺﾞｼｯｸM-PRO" w:eastAsia="HG丸ｺﾞｼｯｸM-PRO"/>
          <w:color w:val="000000" w:themeColor="text1"/>
          <w:kern w:val="0"/>
          <w:sz w:val="22"/>
        </w:rPr>
        <w:t>を超えるおそれのある場所を管理区域として設定して下さい。（則３０条の２６第３項（１））</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《注》管理区域内（</w:t>
      </w:r>
      <w:r>
        <w:rPr>
          <w:rFonts w:hint="eastAsia" w:ascii="HG丸ｺﾞｼｯｸM-PRO" w:hAnsi="HG丸ｺﾞｼｯｸM-PRO" w:eastAsia="HG丸ｺﾞｼｯｸM-PRO"/>
          <w:b w:val="0"/>
          <w:color w:val="000000" w:themeColor="text1"/>
          <w:kern w:val="0"/>
          <w:sz w:val="22"/>
        </w:rPr>
        <w:t>放射線診療室</w:t>
      </w:r>
      <w:r>
        <w:rPr>
          <w:rFonts w:hint="eastAsia" w:ascii="HG丸ｺﾞｼｯｸM-PRO" w:hAnsi="HG丸ｺﾞｼｯｸM-PRO" w:eastAsia="HG丸ｺﾞｼｯｸM-PRO"/>
          <w:color w:val="000000" w:themeColor="text1"/>
          <w:kern w:val="0"/>
          <w:sz w:val="22"/>
        </w:rPr>
        <w:t>）において、</w:t>
      </w:r>
      <w:r>
        <w:rPr>
          <w:rFonts w:hint="eastAsia" w:ascii="HG丸ｺﾞｼｯｸM-PRO" w:hAnsi="HG丸ｺﾞｼｯｸM-PRO" w:eastAsia="HG丸ｺﾞｼｯｸM-PRO"/>
          <w:b w:val="0"/>
          <w:color w:val="000000" w:themeColor="text1"/>
          <w:kern w:val="0"/>
          <w:sz w:val="22"/>
        </w:rPr>
        <w:t>放射線診療</w:t>
      </w:r>
      <w:r>
        <w:rPr>
          <w:rFonts w:hint="eastAsia" w:ascii="HG丸ｺﾞｼｯｸM-PRO" w:hAnsi="HG丸ｺﾞｼｯｸM-PRO" w:eastAsia="HG丸ｺﾞｼｯｸM-PRO"/>
          <w:color w:val="000000" w:themeColor="text1"/>
          <w:kern w:val="0"/>
          <w:sz w:val="22"/>
        </w:rPr>
        <w:t>に関係のない診療を行うことや、物品の保管場所として使用することは認められていません。</w:t>
      </w:r>
    </w:p>
    <w:p>
      <w:pPr>
        <w:pStyle w:val="0"/>
        <w:autoSpaceDE w:val="0"/>
        <w:autoSpaceDN w:val="0"/>
        <w:adjustRightIn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（医政発第０３１５号第４号　第４管理義務に関する事項１（１）ウ）</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（２）標識</w:t>
      </w:r>
    </w:p>
    <w:p>
      <w:pPr>
        <w:pStyle w:val="0"/>
        <w:autoSpaceDE w:val="0"/>
        <w:autoSpaceDN w:val="0"/>
        <w:adjustRightInd w:val="0"/>
        <w:spacing w:after="0" w:afterLines="0" w:afterAutospacing="0"/>
        <w:ind w:left="0" w:leftChars="0"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管理区域に通じる出入口にはすべて管理区域である旨を示す標識を設置し</w:t>
      </w:r>
    </w:p>
    <w:p>
      <w:pPr>
        <w:pStyle w:val="0"/>
        <w:autoSpaceDE w:val="0"/>
        <w:autoSpaceDN w:val="0"/>
        <w:adjustRightInd w:val="0"/>
        <w:spacing w:after="0" w:afterLines="0" w:afterAutospacing="0"/>
        <w:ind w:left="0" w:leftChars="0" w:firstLine="315" w:firstLineChars="15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761365</wp:posOffset>
                </wp:positionH>
                <wp:positionV relativeFrom="paragraph">
                  <wp:posOffset>213360</wp:posOffset>
                </wp:positionV>
                <wp:extent cx="1122680" cy="283845"/>
                <wp:effectExtent l="0" t="0" r="635" b="635"/>
                <wp:wrapNone/>
                <wp:docPr id="1036" name="テキスト ボックス 26"/>
                <a:graphic xmlns:a="http://schemas.openxmlformats.org/drawingml/2006/main">
                  <a:graphicData uri="http://schemas.microsoft.com/office/word/2010/wordprocessingShape">
                    <wps:wsp>
                      <wps:cNvPr id="1036" name="テキスト ボックス 26"/>
                      <wps:cNvSpPr txBox="1"/>
                      <wps:spPr>
                        <a:xfrm>
                          <a:off x="0" y="0"/>
                          <a:ext cx="1122680" cy="283845"/>
                        </a:xfrm>
                        <a:prstGeom prst="rect">
                          <a:avLst/>
                        </a:prstGeom>
                        <a:noFill/>
                        <a:ln w="6350">
                          <a:noFill/>
                        </a:ln>
                      </wps:spPr>
                      <wps:txbx>
                        <w:txbxContent>
                          <w:p>
                            <w:pPr>
                              <w:pStyle w:val="0"/>
                              <w:rPr>
                                <w:rFonts w:hint="default"/>
                              </w:rPr>
                            </w:pPr>
                            <w:r>
                              <w:rPr>
                                <w:rFonts w:hint="eastAsia"/>
                              </w:rPr>
                              <w:t>（標識</w:t>
                            </w:r>
                            <w:r>
                              <w:rPr>
                                <w:rFonts w:hint="default"/>
                              </w:rPr>
                              <w:t>の一</w:t>
                            </w:r>
                            <w:r>
                              <w:rPr>
                                <w:rFonts w:hint="eastAsia"/>
                              </w:rPr>
                              <w:t>例</w:t>
                            </w:r>
                            <w:r>
                              <w:rPr>
                                <w:rFonts w:hint="default"/>
                              </w:rPr>
                              <w:t>）</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30;mso-wrap-distance-left:9pt;width:88.4pt;height:22.35pt;mso-position-horizontal-relative:text;position:absolute;margin-left:59.95pt;margin-top:16.8pt;mso-wrap-distance-bottom:0pt;mso-wrap-distance-right:9pt;mso-wrap-distance-top:0pt;v-text-anchor:top;mso-wrap-style:none;" o:spid="_x0000_s1036" o:allowincell="t" o:allowoverlap="t" filled="f" stroked="f" strokeweight="0.5pt" o:spt="202" type="#_x0000_t202">
                <v:fill/>
                <v:textbox style="layout-flow:horizontal;">
                  <w:txbxContent>
                    <w:p>
                      <w:pPr>
                        <w:pStyle w:val="0"/>
                        <w:rPr>
                          <w:rFonts w:hint="default"/>
                        </w:rPr>
                      </w:pPr>
                      <w:r>
                        <w:rPr>
                          <w:rFonts w:hint="eastAsia"/>
                        </w:rPr>
                        <w:t>（標識</w:t>
                      </w:r>
                      <w:r>
                        <w:rPr>
                          <w:rFonts w:hint="default"/>
                        </w:rPr>
                        <w:t>の一</w:t>
                      </w:r>
                      <w:r>
                        <w:rPr>
                          <w:rFonts w:hint="eastAsia"/>
                        </w:rPr>
                        <w:t>例</w:t>
                      </w:r>
                      <w:r>
                        <w:rPr>
                          <w:rFonts w:hint="default"/>
                        </w:rPr>
                        <w:t>）</w:t>
                      </w:r>
                    </w:p>
                  </w:txbxContent>
                </v:textbox>
                <v:imagedata o:title=""/>
                <w10:wrap type="none" anchorx="text" anchory="text"/>
              </v:shape>
            </w:pict>
          </mc:Fallback>
        </mc:AlternateContent>
      </w:r>
      <w:r>
        <w:rPr>
          <w:rFonts w:hint="eastAsia" w:ascii="HG丸ｺﾞｼｯｸM-PRO" w:hAnsi="HG丸ｺﾞｼｯｸM-PRO" w:eastAsia="HG丸ｺﾞｼｯｸM-PRO"/>
          <w:color w:val="000000" w:themeColor="text1"/>
          <w:kern w:val="0"/>
          <w:sz w:val="22"/>
        </w:rPr>
        <w:t>てください。（則第３０条の１６第１項）</w:t>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r>
        <w:rPr>
          <w:rFonts w:hint="eastAsia"/>
        </w:rPr>
        <w:drawing>
          <wp:anchor distT="0" distB="0" distL="114300" distR="114300" simplePos="0" relativeHeight="29" behindDoc="0" locked="0" layoutInCell="1" hidden="0" allowOverlap="1">
            <wp:simplePos x="0" y="0"/>
            <wp:positionH relativeFrom="column">
              <wp:posOffset>2082165</wp:posOffset>
            </wp:positionH>
            <wp:positionV relativeFrom="paragraph">
              <wp:posOffset>16510</wp:posOffset>
            </wp:positionV>
            <wp:extent cx="1038225" cy="1352550"/>
            <wp:effectExtent l="23495" t="23495" r="24130" b="24130"/>
            <wp:wrapSquare wrapText="bothSides"/>
            <wp:docPr id="1037" name="Ｘ線診療室標識.jpg"/>
            <a:graphic xmlns:a="http://schemas.openxmlformats.org/drawingml/2006/main">
              <a:graphicData uri="http://schemas.openxmlformats.org/drawingml/2006/picture">
                <pic:pic xmlns:pic="http://schemas.openxmlformats.org/drawingml/2006/picture">
                  <pic:nvPicPr>
                    <pic:cNvPr id="1037" name="Ｘ線診療室標識.jpg"/>
                    <pic:cNvPicPr/>
                  </pic:nvPicPr>
                  <pic:blipFill>
                    <a:blip r:embed="rId9"/>
                    <a:stretch>
                      <a:fillRect/>
                    </a:stretch>
                  </pic:blipFill>
                  <pic:spPr>
                    <a:xfrm>
                      <a:off x="0" y="0"/>
                      <a:ext cx="1038225" cy="1352550"/>
                    </a:xfrm>
                    <a:prstGeom prst="rect">
                      <a:avLst/>
                    </a:prstGeom>
                    <a:ln>
                      <a:solidFill>
                        <a:schemeClr val="tx1"/>
                      </a:solidFill>
                    </a:ln>
                  </pic:spPr>
                </pic:pic>
              </a:graphicData>
            </a:graphic>
          </wp:anchor>
        </w:drawing>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before="240" w:beforeLines="0" w:beforeAutospacing="0"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（３）立入制限</w:t>
      </w:r>
    </w:p>
    <w:p>
      <w:pPr>
        <w:pStyle w:val="0"/>
        <w:autoSpaceDE w:val="0"/>
        <w:autoSpaceDN w:val="0"/>
        <w:adjustRightInd w:val="0"/>
        <w:spacing w:after="0" w:afterLines="0" w:afterAutospacing="0"/>
        <w:ind w:left="1050" w:left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管理区域内に人がみだりに立ち入らないような措置を講じてください。（則第３０条の１６第２項）</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（４）注意事項の掲示</w:t>
      </w:r>
    </w:p>
    <w:p>
      <w:pPr>
        <w:pStyle w:val="0"/>
        <w:autoSpaceDE w:val="0"/>
        <w:autoSpaceDN w:val="0"/>
        <w:adjustRightInd w:val="0"/>
        <w:snapToGri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エックス線診療室等の目につきやすい場所に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放射線障害の防止に必要な患者向けの注意事項と</w:t>
      </w:r>
      <w:r>
        <w:rPr>
          <w:rFonts w:hint="eastAsia" w:ascii="HG丸ｺﾞｼｯｸM-PRO" w:hAnsi="HG丸ｺﾞｼｯｸM-PRO" w:eastAsia="HG丸ｺﾞｼｯｸM-PRO"/>
          <w:b w:val="0"/>
          <w:color w:val="000000" w:themeColor="text1"/>
          <w:kern w:val="0"/>
          <w:sz w:val="22"/>
        </w:rPr>
        <w:t>診療従事者</w:t>
      </w:r>
      <w:r>
        <w:rPr>
          <w:rFonts w:hint="eastAsia" w:ascii="HG丸ｺﾞｼｯｸM-PRO" w:hAnsi="HG丸ｺﾞｼｯｸM-PRO" w:eastAsia="HG丸ｺﾞｼｯｸM-PRO"/>
          <w:color w:val="000000" w:themeColor="text1"/>
          <w:kern w:val="0"/>
          <w:sz w:val="22"/>
        </w:rPr>
        <w:t>向けの注意事項をそれぞれ掲示してください。（則第３０条の１３）</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〔患者に対する注意事項（例）〕</w:t>
      </w:r>
      <w:r>
        <w:rPr>
          <w:rFonts w:hint="eastAsia" w:ascii="HG丸ｺﾞｼｯｸM-PRO" w:hAnsi="HG丸ｺﾞｼｯｸM-PRO" w:eastAsia="HG丸ｺﾞｼｯｸM-PRO"/>
          <w:color w:val="000000" w:themeColor="text1"/>
          <w:kern w:val="0"/>
          <w:sz w:val="22"/>
        </w:rPr>
        <w:t xml:space="preserve"> </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〔診療従事者に対する注意事項（例）〕</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304800</wp:posOffset>
                </wp:positionH>
                <wp:positionV relativeFrom="paragraph">
                  <wp:posOffset>53340</wp:posOffset>
                </wp:positionV>
                <wp:extent cx="2233930" cy="2337435"/>
                <wp:effectExtent l="635" t="635" r="29845" b="10795"/>
                <wp:wrapNone/>
                <wp:docPr id="1038" name="テキスト ボックス 8"/>
                <a:graphic xmlns:a="http://schemas.openxmlformats.org/drawingml/2006/main">
                  <a:graphicData uri="http://schemas.microsoft.com/office/word/2010/wordprocessingShape">
                    <wps:wsp>
                      <wps:cNvPr id="1038" name="テキスト ボックス 8"/>
                      <wps:cNvSpPr txBox="1"/>
                      <wps:spPr>
                        <a:xfrm>
                          <a:off x="0" y="0"/>
                          <a:ext cx="2233930" cy="233743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1;mso-wrap-distance-left:9pt;width:175.9pt;height:184.05pt;mso-position-horizontal-relative:margin;position:absolute;margin-left:24pt;margin-top:4.2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margin">
                  <wp:posOffset>2875280</wp:posOffset>
                </wp:positionH>
                <wp:positionV relativeFrom="paragraph">
                  <wp:posOffset>52070</wp:posOffset>
                </wp:positionV>
                <wp:extent cx="2475230" cy="3373755"/>
                <wp:effectExtent l="635" t="635" r="29845" b="10795"/>
                <wp:wrapNone/>
                <wp:docPr id="1039" name="テキスト ボックス 9"/>
                <a:graphic xmlns:a="http://schemas.openxmlformats.org/drawingml/2006/main">
                  <a:graphicData uri="http://schemas.microsoft.com/office/word/2010/wordprocessingShape">
                    <wps:wsp>
                      <wps:cNvPr id="1039" name="テキスト ボックス 9"/>
                      <wps:cNvSpPr txBox="1"/>
                      <wps:spPr>
                        <a:xfrm>
                          <a:off x="0" y="0"/>
                          <a:ext cx="2475230" cy="337375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12;mso-wrap-distance-left:9pt;width:194.9pt;height:265.64pt;mso-position-horizontal-relative:margin;position:absolute;margin-left:226.4pt;margin-top:4.09pt;mso-wrap-distance-bottom:0pt;mso-wrap-distance-right:9pt;mso-wrap-distance-top:0pt;v-text-anchor:top;" o:spid="_x0000_s1039"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v:textbox>
                <v:imagedata o:title=""/>
                <w10:wrap type="none" anchorx="margin" anchory="text"/>
              </v:shape>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-100965</wp:posOffset>
                </wp:positionH>
                <wp:positionV relativeFrom="paragraph">
                  <wp:posOffset>24130</wp:posOffset>
                </wp:positionV>
                <wp:extent cx="2653665" cy="541020"/>
                <wp:effectExtent l="635" t="635" r="29845" b="10795"/>
                <wp:wrapNone/>
                <wp:docPr id="1040" name="角丸四角形 10"/>
                <a:graphic xmlns:a="http://schemas.openxmlformats.org/drawingml/2006/main">
                  <a:graphicData uri="http://schemas.microsoft.com/office/word/2010/wordprocessingShape">
                    <wps:wsp>
                      <wps:cNvPr id="1040" name="角丸四角形 10"/>
                      <wps:cNvSpPr/>
                      <wps:spPr>
                        <a:xfrm>
                          <a:off x="0" y="0"/>
                          <a:ext cx="2653665" cy="5410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position-vertical-relative:text;z-index:13;mso-wrap-distance-left:9pt;width:208.95pt;height:42.6pt;mso-position-horizontal-relative:margin;position:absolute;margin-left:-7.95pt;margin-top:1.9pt;mso-wrap-distance-bottom:0pt;mso-wrap-distance-right:9pt;mso-wrap-distance-top:0pt;v-text-anchor:middle;" o:spid="_x0000_s104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９　放射線漏洩</w:t>
      </w:r>
      <w:r>
        <w:rPr>
          <w:rFonts w:hint="eastAsia" w:ascii="HG丸ｺﾞｼｯｸM-PRO" w:hAnsi="HG丸ｺﾞｼｯｸM-PRO" w:eastAsia="HG丸ｺﾞｼｯｸM-PRO"/>
          <w:b w:val="0"/>
          <w:color w:val="000000" w:themeColor="text1"/>
          <w:kern w:val="0"/>
          <w:sz w:val="24"/>
        </w:rPr>
        <w:t>線量</w:t>
      </w:r>
      <w:r>
        <w:rPr>
          <w:rFonts w:hint="eastAsia" w:ascii="HG丸ｺﾞｼｯｸM-PRO" w:hAnsi="HG丸ｺﾞｼｯｸM-PRO" w:eastAsia="HG丸ｺﾞｼｯｸM-PRO"/>
          <w:color w:val="000000" w:themeColor="text1"/>
          <w:kern w:val="0"/>
          <w:sz w:val="24"/>
        </w:rPr>
        <w:t>測定および記録の保管</w:t>
      </w:r>
    </w:p>
    <w:p>
      <w:pPr>
        <w:pStyle w:val="0"/>
        <w:autoSpaceDE w:val="0"/>
        <w:autoSpaceDN w:val="0"/>
        <w:adjustRightInd w:val="0"/>
        <w:ind w:firstLine="960" w:firstLineChars="40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（医療法施行規則第</w:t>
      </w:r>
      <w:r>
        <w:rPr>
          <w:rFonts w:hint="eastAsia" w:ascii="HG丸ｺﾞｼｯｸM-PRO" w:hAnsi="HG丸ｺﾞｼｯｸM-PRO" w:eastAsia="HG丸ｺﾞｼｯｸM-PRO"/>
          <w:color w:val="000000" w:themeColor="text1"/>
          <w:kern w:val="0"/>
          <w:sz w:val="24"/>
        </w:rPr>
        <w:t>30</w:t>
      </w:r>
      <w:r>
        <w:rPr>
          <w:rFonts w:hint="eastAsia" w:ascii="HG丸ｺﾞｼｯｸM-PRO" w:hAnsi="HG丸ｺﾞｼｯｸM-PRO" w:eastAsia="HG丸ｺﾞｼｯｸM-PRO"/>
          <w:color w:val="000000" w:themeColor="text1"/>
          <w:kern w:val="0"/>
          <w:sz w:val="24"/>
        </w:rPr>
        <w:t>条の</w:t>
      </w:r>
      <w:r>
        <w:rPr>
          <w:rFonts w:hint="eastAsia" w:ascii="HG丸ｺﾞｼｯｸM-PRO" w:hAnsi="HG丸ｺﾞｼｯｸM-PRO" w:eastAsia="HG丸ｺﾞｼｯｸM-PRO"/>
          <w:color w:val="000000" w:themeColor="text1"/>
          <w:kern w:val="0"/>
          <w:sz w:val="24"/>
        </w:rPr>
        <w:t>16</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17</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22</w:t>
      </w:r>
      <w:r>
        <w:rPr>
          <w:rFonts w:hint="eastAsia" w:ascii="HG丸ｺﾞｼｯｸM-PRO" w:hAnsi="HG丸ｺﾞｼｯｸM-PRO" w:eastAsia="HG丸ｺﾞｼｯｸM-PRO"/>
          <w:color w:val="000000" w:themeColor="text1"/>
          <w:kern w:val="0"/>
          <w:sz w:val="24"/>
        </w:rPr>
        <w:t>）</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測定対象</w:t>
      </w:r>
    </w:p>
    <w:p>
      <w:pPr>
        <w:pStyle w:val="0"/>
        <w:autoSpaceDE w:val="0"/>
        <w:autoSpaceDN w:val="0"/>
        <w:adjustRightInd w:val="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エックス線診療室の外側、管理区域の境界、居住区域、病院・診療所の敷地の境界</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測定場所</w:t>
      </w:r>
    </w:p>
    <w:p>
      <w:pPr>
        <w:pStyle w:val="20"/>
        <w:autoSpaceDE w:val="0"/>
        <w:autoSpaceDN w:val="0"/>
        <w:adjustRightInd w:val="0"/>
        <w:ind w:left="945"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測定対象の漏洩を確認するために最も適した位置において測定</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測定時期</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診療を開始する前に１回</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診療を開始した後にあっては６か月を超えない期間ごとに１回</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保存期間</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５年間保存</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放射線診療室の外側における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１週間につき１ｍ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（放射線診療室の画壁が管理区域の境界となる場合は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以下）</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イ　管理区域の境界における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ウ　病院、診療所の敷地の境界</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居住区域における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250</w:t>
      </w:r>
      <w:r>
        <w:rPr>
          <w:rFonts w:hint="eastAsia" w:ascii="HG丸ｺﾞｼｯｸM-PRO" w:hAnsi="HG丸ｺﾞｼｯｸM-PRO" w:eastAsia="HG丸ｺﾞｼｯｸM-PRO"/>
          <w:color w:val="000000" w:themeColor="text1"/>
          <w:kern w:val="0"/>
          <w:sz w:val="22"/>
        </w:rPr>
        <w:t>μ</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20"/>
        <w:numPr>
          <w:ilvl w:val="0"/>
          <w:numId w:val="7"/>
        </w:numPr>
        <w:autoSpaceDE w:val="0"/>
        <w:autoSpaceDN w:val="0"/>
        <w:adjustRightInd w:val="0"/>
        <w:spacing w:before="240" w:beforeLines="0" w:before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画壁、管理区域、敷地境界、居住区域等の関係</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rPr>
        <mc:AlternateContent>
          <mc:Choice Requires="wpg">
            <w:drawing>
              <wp:anchor distT="0" distB="0" distL="114300" distR="114300" simplePos="0" relativeHeight="14" behindDoc="0" locked="0" layoutInCell="1" hidden="0" allowOverlap="1">
                <wp:simplePos x="0" y="0"/>
                <wp:positionH relativeFrom="column">
                  <wp:posOffset>-475615</wp:posOffset>
                </wp:positionH>
                <wp:positionV relativeFrom="paragraph">
                  <wp:posOffset>40005</wp:posOffset>
                </wp:positionV>
                <wp:extent cx="5231130" cy="2052955"/>
                <wp:effectExtent l="635" t="0" r="29845" b="10795"/>
                <wp:wrapNone/>
                <wp:docPr id="1041" name="グループ化 27"/>
                <a:graphic xmlns:a="http://schemas.openxmlformats.org/drawingml/2006/main">
                  <a:graphicData uri="http://schemas.microsoft.com/office/word/2010/wordprocessingGroup">
                    <wpg:wgp>
                      <wpg:cNvGrpSpPr/>
                      <wpg:grpSpPr>
                        <a:xfrm>
                          <a:off x="0" y="0"/>
                          <a:ext cx="5231130" cy="2052955"/>
                          <a:chOff x="0" y="0"/>
                          <a:chExt cx="5231219" cy="2133630"/>
                        </a:xfrm>
                      </wpg:grpSpPr>
                      <wps:wsp>
                        <wps:cNvPr id="1042" name="テキスト ボックス 18"/>
                        <wps:cNvSpPr txBox="1"/>
                        <wps:spPr>
                          <a:xfrm>
                            <a:off x="2552369" y="421419"/>
                            <a:ext cx="2306994"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43" name="テキスト ボックス 16"/>
                        <wps:cNvSpPr txBox="1"/>
                        <wps:spPr>
                          <a:xfrm>
                            <a:off x="675861" y="548640"/>
                            <a:ext cx="871870"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居住区域</w:t>
                              </w:r>
                            </w:p>
                          </w:txbxContent>
                        </wps:txbx>
                        <wps:bodyPr rot="0" vertOverflow="overflow" horzOverflow="overflow" wrap="square" numCol="1" spcCol="0" rtlCol="0" fromWordArt="0" anchor="t" anchorCtr="0" forceAA="0" compatLnSpc="1"/>
                      </wps:wsp>
                      <wps:wsp>
                        <wps:cNvPr id="1044" name="テキスト ボックス 15"/>
                        <wps:cNvSpPr txBox="1"/>
                        <wps:spPr>
                          <a:xfrm>
                            <a:off x="2226366" y="0"/>
                            <a:ext cx="2891839"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wps:txbx>
                        <wps:bodyPr rot="0" vertOverflow="overflow" horzOverflow="overflow" wrap="square" numCol="1" spcCol="0" rtlCol="0" fromWordArt="0" anchor="t" anchorCtr="0" forceAA="0" compatLnSpc="1"/>
                      </wps:wsp>
                      <wps:wsp>
                        <wps:cNvPr id="1045" name="正方形/長方形 11"/>
                        <wps:cNvSpPr/>
                        <wps:spPr>
                          <a:xfrm>
                            <a:off x="0" y="294198"/>
                            <a:ext cx="5231219" cy="18394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6" name="正方形/長方形 12"/>
                        <wps:cNvSpPr/>
                        <wps:spPr>
                          <a:xfrm>
                            <a:off x="302150" y="858740"/>
                            <a:ext cx="1743739" cy="5635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正方形/長方形 13"/>
                        <wps:cNvSpPr/>
                        <wps:spPr>
                          <a:xfrm>
                            <a:off x="2512613" y="707666"/>
                            <a:ext cx="2456121" cy="1190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テキスト ボックス 19"/>
                        <wps:cNvSpPr txBox="1"/>
                        <wps:spPr>
                          <a:xfrm>
                            <a:off x="2902226" y="922351"/>
                            <a:ext cx="1849786"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wps:txbx>
                        <wps:bodyPr rot="0" vertOverflow="overflow" horzOverflow="overflow" wrap="square" numCol="1" spcCol="0" rtlCol="0" fromWordArt="0" anchor="t" anchorCtr="0" forceAA="0" compatLnSpc="1"/>
                      </wps:wsp>
                      <wps:wsp>
                        <wps:cNvPr id="1049" name="正方形/長方形 14"/>
                        <wps:cNvSpPr/>
                        <wps:spPr>
                          <a:xfrm>
                            <a:off x="2926080" y="1184744"/>
                            <a:ext cx="1701210" cy="5528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0" name="テキスト ボックス 17"/>
                        <wps:cNvSpPr txBox="1"/>
                        <wps:spPr>
                          <a:xfrm>
                            <a:off x="524786" y="970059"/>
                            <a:ext cx="1275737"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51" name="テキスト ボックス 20"/>
                        <wps:cNvSpPr txBox="1"/>
                        <wps:spPr>
                          <a:xfrm>
                            <a:off x="3116912" y="1296062"/>
                            <a:ext cx="1318282"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7" style="mso-position-vertical-relative:text;z-index:14;mso-wrap-distance-left:9pt;width:411.9pt;height:161.65pt;mso-position-horizontal-relative:text;position:absolute;margin-left:-37.450000000000003pt;margin-top:3.15pt;mso-wrap-distance-bottom:0pt;mso-wrap-distance-right:9pt;mso-wrap-distance-top:0pt;" coordsize="5231219,2133630" coordorigin="0,0" o:spid="_x0000_s1041" o:allowincell="t" o:allowoverlap="t">
                <v:shapetype id="_x0000_t202" coordsize="21600,21600" o:spt="202" path="m,l,21600r21600,l21600,xe">
                  <v:stroke joinstyle="miter"/>
                  <v:path gradientshapeok="t" o:connecttype="rect"/>
                </v:shapetype>
                <v:shape id="テキスト ボックス 18" style="position:absolute;left:2552369;top:421419;width:2306994;height:340536;" o:spid="_x0000_s1042"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16" style="position:absolute;left:675861;top:548640;width:871870;height:339876;" o:spid="_x0000_s1043"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居住区域</w:t>
                        </w:r>
                      </w:p>
                    </w:txbxContent>
                  </v:textbox>
                  <v:imagedata o:title=""/>
                  <w10:wrap type="none" anchorx="text" anchory="text"/>
                </v:shape>
                <v:shape id="テキスト ボックス 15" style="position:absolute;left:2226366;top:0;width:2891839;height:340536;" o:spid="_x0000_s1044"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v:textbox>
                  <v:imagedata o:title=""/>
                  <w10:wrap type="none" anchorx="text" anchory="text"/>
                </v:shape>
                <v:rect id="正方形/長方形 11" style="position:absolute;left:0;top:294198;width:5231219;height:1839432;" o:spid="_x0000_s1045" filled="f" stroked="t" strokecolor="#000000 [3213]" strokeweight="1pt" o:spt="1">
                  <v:fill/>
                  <v:stroke linestyle="single" miterlimit="8" endcap="flat" dashstyle="solid" filltype="solid"/>
                  <v:textbox style="layout-flow:horizontal;"/>
                  <v:imagedata o:title=""/>
                  <w10:wrap type="none" anchorx="text" anchory="text"/>
                </v:rect>
                <v:rect id="正方形/長方形 12" style="position:absolute;left:302150;top:858740;width:1743739;height:563526;" o:spid="_x0000_s1046" filled="f" stroked="t" strokecolor="#000000 [3213]" strokeweight="1pt" o:spt="1">
                  <v:fill/>
                  <v:stroke linestyle="single" miterlimit="8" endcap="flat" dashstyle="solid" filltype="solid"/>
                  <v:textbox style="layout-flow:horizontal;"/>
                  <v:imagedata o:title=""/>
                  <w10:wrap type="none" anchorx="text" anchory="text"/>
                </v:rect>
                <v:rect id="正方形/長方形 13" style="position:absolute;left:2512613;top:707666;width:2456121;height:1190846;" o:spid="_x0000_s1047"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9" style="position:absolute;left:2902226;top:922351;width:1849786;height:339876;" o:spid="_x0000_s1048"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v:textbox>
                  <v:imagedata o:title=""/>
                  <w10:wrap type="none" anchorx="text" anchory="text"/>
                </v:shape>
                <v:rect id="正方形/長方形 14" style="position:absolute;left:2926080;top:1184744;width:1701210;height:552893;" o:spid="_x0000_s1049"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7" style="position:absolute;left:524786;top:970059;width:1275737;height:339876;" o:spid="_x0000_s1050"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20" style="position:absolute;left:3116912;top:1296062;width:1318282;height:340536;" o:spid="_x0000_s1051"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v:textbox>
                  <v:imagedata o:title=""/>
                  <w10:wrap type="none" anchorx="text" anchory="text"/>
                </v:shape>
                <w10:wrap type="none" anchorx="text" anchory="text"/>
              </v:group>
            </w:pict>
          </mc:Fallback>
        </mc:AlternateConten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ab/>
      </w: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放射線測定器の校正</w:t>
      </w:r>
    </w:p>
    <w:p>
      <w:pPr>
        <w:pStyle w:val="20"/>
        <w:autoSpaceDE w:val="0"/>
        <w:autoSpaceDN w:val="0"/>
        <w:adjustRightInd w:val="0"/>
        <w:ind w:left="940"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放射線</w:t>
      </w:r>
      <w:r>
        <w:rPr>
          <w:rFonts w:hint="eastAsia" w:ascii="HG丸ｺﾞｼｯｸM-PRO" w:hAnsi="HG丸ｺﾞｼｯｸM-PRO" w:eastAsia="HG丸ｺﾞｼｯｸM-PRO"/>
          <w:color w:val="000000" w:themeColor="text1"/>
          <w:kern w:val="0"/>
          <w:sz w:val="22"/>
        </w:rPr>
        <w:t>測定器は定期的（最低</w:t>
      </w:r>
      <w:r>
        <w:rPr>
          <w:rFonts w:hint="eastAsia" w:ascii="HG丸ｺﾞｼｯｸM-PRO" w:hAnsi="HG丸ｺﾞｼｯｸM-PRO" w:eastAsia="HG丸ｺﾞｼｯｸM-PRO"/>
          <w:color w:val="000000" w:themeColor="text1"/>
          <w:kern w:val="0"/>
          <w:sz w:val="22"/>
        </w:rPr>
        <w:t>1</w:t>
      </w:r>
      <w:r>
        <w:rPr>
          <w:rFonts w:hint="eastAsia" w:ascii="HG丸ｺﾞｼｯｸM-PRO" w:hAnsi="HG丸ｺﾞｼｯｸM-PRO" w:eastAsia="HG丸ｺﾞｼｯｸM-PRO"/>
          <w:color w:val="000000" w:themeColor="text1"/>
          <w:kern w:val="0"/>
          <w:sz w:val="22"/>
        </w:rPr>
        <w:t>年間を超えない期間）に校正されたものを使用する</w:t>
      </w: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外部委託および計算による算出</w:t>
      </w:r>
    </w:p>
    <w:p>
      <w:pPr>
        <w:pStyle w:val="0"/>
        <w:autoSpaceDE w:val="0"/>
        <w:autoSpaceDN w:val="0"/>
        <w:adjustRightInd w:val="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自施設で測定できない（放射線測定器を保有していない）場合は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医療機器メーカー等に外部委託するなどの対応が必要。</w:t>
      </w:r>
    </w:p>
    <w:p>
      <w:pPr>
        <w:pStyle w:val="0"/>
        <w:autoSpaceDE w:val="0"/>
        <w:autoSpaceDN w:val="0"/>
        <w:adjustRightInd w:val="0"/>
        <w:ind w:left="660" w:hanging="660" w:hanging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660" w:hanging="660" w:hangingChars="300"/>
        <w:jc w:val="left"/>
        <w:rPr>
          <w:rFonts w:hint="default" w:ascii="ＭＳ 明朝" w:hAnsi="ＭＳ 明朝" w:eastAsia="ＭＳ 明朝"/>
          <w:color w:val="000000" w:themeColor="text1"/>
          <w:kern w:val="0"/>
          <w:sz w:val="22"/>
        </w:rPr>
      </w:pPr>
    </w:p>
    <w:p>
      <w:pPr>
        <w:pStyle w:val="0"/>
        <w:autoSpaceDE w:val="0"/>
        <w:autoSpaceDN w:val="0"/>
        <w:adjustRightInd w:val="0"/>
        <w:ind w:left="720" w:hanging="720" w:hangingChars="3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5" behindDoc="0" locked="0" layoutInCell="1" hidden="0" allowOverlap="1">
                <wp:simplePos x="0" y="0"/>
                <wp:positionH relativeFrom="margin">
                  <wp:align>left</wp:align>
                </wp:positionH>
                <wp:positionV relativeFrom="paragraph">
                  <wp:posOffset>9525</wp:posOffset>
                </wp:positionV>
                <wp:extent cx="1668780" cy="541655"/>
                <wp:effectExtent l="635" t="635" r="29845" b="10795"/>
                <wp:wrapNone/>
                <wp:docPr id="1052" name="角丸四角形 21"/>
                <a:graphic xmlns:a="http://schemas.openxmlformats.org/drawingml/2006/main">
                  <a:graphicData uri="http://schemas.microsoft.com/office/word/2010/wordprocessingShape">
                    <wps:wsp>
                      <wps:cNvPr id="1052" name="角丸四角形 21"/>
                      <wps:cNvSpPr/>
                      <wps:spPr>
                        <a:xfrm>
                          <a:off x="0" y="0"/>
                          <a:ext cx="166878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1" style="mso-position-vertical-relative:text;z-index:25;mso-wrap-distance-left:9pt;width:131.4pt;height:42.65pt;mso-position-horizontal-relative:margin;position:absolute;mso-position-horizontal:left;margin-top:0.75pt;mso-wrap-distance-bottom:0pt;mso-wrap-distance-right:9pt;mso-wrap-distance-top:0pt;v-text-anchor:middle;" o:spid="_x0000_s105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１０　使用中の表示</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エックス線装置を使用しているときは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エックス線診療室の出入口に「使用中」</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「撮影中」等のランプを点灯してください。（則第３０条の２０第２項第１号）</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p>
    <w:p>
      <w:pPr>
        <w:pStyle w:val="15"/>
        <w:rPr>
          <w:rFonts w:hint="default" w:ascii="ＭＳ 明朝" w:hAnsi="ＭＳ 明朝" w:eastAsia="ＭＳ 明朝"/>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26" behindDoc="0" locked="0" layoutInCell="1" hidden="0" allowOverlap="1">
                <wp:simplePos x="0" y="0"/>
                <wp:positionH relativeFrom="margin">
                  <wp:align>left</wp:align>
                </wp:positionH>
                <wp:positionV relativeFrom="paragraph">
                  <wp:posOffset>119380</wp:posOffset>
                </wp:positionV>
                <wp:extent cx="2232660" cy="541655"/>
                <wp:effectExtent l="635" t="635" r="29845" b="10795"/>
                <wp:wrapNone/>
                <wp:docPr id="1053" name="角丸四角形 22"/>
                <a:graphic xmlns:a="http://schemas.openxmlformats.org/drawingml/2006/main">
                  <a:graphicData uri="http://schemas.microsoft.com/office/word/2010/wordprocessingShape">
                    <wps:wsp>
                      <wps:cNvPr id="1053" name="角丸四角形 22"/>
                      <wps:cNvSpPr/>
                      <wps:spPr>
                        <a:xfrm>
                          <a:off x="0" y="0"/>
                          <a:ext cx="223266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2" style="mso-position-vertical-relative:text;z-index:26;mso-wrap-distance-left:9pt;width:175.8pt;height:42.65pt;mso-position-horizontal-relative:margin;position:absolute;mso-position-horizontal:left;margin-top:9.4pt;mso-wrap-distance-bottom:0pt;mso-wrap-distance-right:9pt;mso-wrap-distance-top:0pt;v-text-anchor:middle;" o:spid="_x0000_s1053"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v:textbox>
                <v:imagedata o:title=""/>
                <w10:wrap type="none" anchorx="margin" anchory="text"/>
              </v:roundrect>
            </w:pict>
          </mc:Fallback>
        </mc:AlternateContent>
      </w:r>
    </w:p>
    <w:p>
      <w:pPr>
        <w:pStyle w:val="15"/>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１１　事故の場合の措置</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0"/>
          <w:color w:val="000000" w:themeColor="text1"/>
          <w:sz w:val="22"/>
        </w:rPr>
        <w:t>病院又は</w:t>
      </w:r>
      <w:r>
        <w:rPr>
          <w:rFonts w:hint="eastAsia" w:ascii="HG丸ｺﾞｼｯｸM-PRO" w:hAnsi="HG丸ｺﾞｼｯｸM-PRO" w:eastAsia="HG丸ｺﾞｼｯｸM-PRO"/>
          <w:color w:val="000000" w:themeColor="text1"/>
          <w:sz w:val="22"/>
        </w:rPr>
        <w:t>診療所の管理者は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地震</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火災その他の災害又は盗難</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紛失その他の事故により放射線障害が発生し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又は発生するおそれがある場合は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ただちにその旨を管轄の保健所</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警察署</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消防署その他関係機関に通報するとともに</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放射線障害の防止に努めなければならない。（則第３０条の２５）</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（１）事故発生に伴う通報連絡網の作成</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地震、火災等の災害や盗難、紛失等の事故により、放射線障害が発生又は発生するおそれがある場合に備え、通報連絡網や通報基準を作成する。通報先には、管轄する警察署、消防署、保健所その他の関係機関の通報先を記載する。</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（２）通報連絡網の掲示および周知</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事故発生時に速やかに対応できるよう、通報連絡網を操作室等の従事者の目に付きやすい場所に掲示する。</w:t>
      </w:r>
    </w:p>
    <w:p>
      <w:pPr>
        <w:pStyle w:val="0"/>
        <w:autoSpaceDE w:val="0"/>
        <w:autoSpaceDN w:val="0"/>
        <w:adjustRightInd w:val="0"/>
        <w:ind w:left="630" w:leftChars="300" w:firstLine="220" w:firstLineChars="100"/>
        <w:jc w:val="left"/>
        <w:rPr>
          <w:rFonts w:hint="default" w:ascii="ＭＳ 明朝" w:hAnsi="ＭＳ 明朝" w:eastAsia="ＭＳ 明朝"/>
          <w:color w:val="000000" w:themeColor="text1"/>
          <w:kern w:val="0"/>
          <w:sz w:val="22"/>
        </w:rPr>
      </w:pPr>
    </w:p>
    <w:p>
      <w:pPr>
        <w:pStyle w:val="0"/>
        <w:autoSpaceDE w:val="0"/>
        <w:autoSpaceDN w:val="0"/>
        <w:adjustRightInd w:val="0"/>
        <w:ind w:leftChars="0" w:firstLineChars="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color w:val="000000" w:themeColor="text1"/>
        </w:rPr>
        <mc:AlternateContent>
          <mc:Choice Requires="wps">
            <w:drawing>
              <wp:anchor distT="0" distB="0" distL="114300" distR="114300" simplePos="0" relativeHeight="28" behindDoc="0" locked="0" layoutInCell="1" hidden="0" allowOverlap="1">
                <wp:simplePos x="0" y="0"/>
                <wp:positionH relativeFrom="margin">
                  <wp:align>left</wp:align>
                </wp:positionH>
                <wp:positionV relativeFrom="paragraph">
                  <wp:posOffset>26035</wp:posOffset>
                </wp:positionV>
                <wp:extent cx="3937635" cy="541655"/>
                <wp:effectExtent l="635" t="635" r="29845" b="10795"/>
                <wp:wrapNone/>
                <wp:docPr id="1054" name="角丸四角形 24"/>
                <a:graphic xmlns:a="http://schemas.openxmlformats.org/drawingml/2006/main">
                  <a:graphicData uri="http://schemas.microsoft.com/office/word/2010/wordprocessingShape">
                    <wps:wsp>
                      <wps:cNvPr id="1054" name="角丸四角形 24"/>
                      <wps:cNvSpPr/>
                      <wps:spPr>
                        <a:xfrm>
                          <a:off x="0" y="0"/>
                          <a:ext cx="39376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4" style="mso-position-vertical-relative:text;z-index:28;mso-wrap-distance-left:9pt;width:310.05pt;height:42.65pt;mso-position-horizontal-relative:margin;position:absolute;mso-position-horizontal:left;margin-top:2.04pt;mso-wrap-distance-bottom:0pt;mso-wrap-distance-right:9pt;mso-wrap-distance-top:0pt;v-text-anchor:middle;" o:spid="_x0000_s105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　エックス線診療室における複数のエックス線装置の使用</w:t>
      </w:r>
    </w:p>
    <w:p>
      <w:pPr>
        <w:pStyle w:val="15"/>
        <w:ind w:left="420" w:leftChars="2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エックス線診療室において２台以上のエックス線装置を備えた場合にあっては、２台以上のエックス線装置からの同時照射を防止するための装置を設けてください。</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7" behindDoc="0" locked="0" layoutInCell="1" hidden="0" allowOverlap="1">
                <wp:simplePos x="0" y="0"/>
                <wp:positionH relativeFrom="margin">
                  <wp:align>left</wp:align>
                </wp:positionH>
                <wp:positionV relativeFrom="paragraph">
                  <wp:posOffset>273050</wp:posOffset>
                </wp:positionV>
                <wp:extent cx="2710815" cy="541655"/>
                <wp:effectExtent l="635" t="635" r="29845" b="10795"/>
                <wp:wrapNone/>
                <wp:docPr id="1055" name="角丸四角形 23"/>
                <a:graphic xmlns:a="http://schemas.openxmlformats.org/drawingml/2006/main">
                  <a:graphicData uri="http://schemas.microsoft.com/office/word/2010/wordprocessingShape">
                    <wps:wsp>
                      <wps:cNvPr id="1055" name="角丸四角形 23"/>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3" style="mso-position-vertical-relative:text;z-index:27;mso-wrap-distance-left:9pt;width:213.45pt;height:42.65pt;mso-position-horizontal-relative:margin;position:absolute;mso-position-horizontal:left;margin-top:21.5pt;mso-wrap-distance-bottom:0pt;mso-wrap-distance-right:9pt;mso-wrap-distance-top:0pt;v-text-anchor:middle;" o:spid="_x0000_s105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１３　</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移動型エックス線装置の保管</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移動型エックス線装置は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鍵のかかる保管場所等を設けて適切に保管し</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キースイッチ等の管理を適切に行う。（医政発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《注》移動型エックス線装置を、患者の使用する廊下等に保管することは認められていません。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１４　装置の使用時間の管理</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エックス線診療室以外</w:t>
      </w:r>
      <w:r>
        <w:rPr>
          <w:rFonts w:hint="eastAsia" w:ascii="HG丸ｺﾞｼｯｸM-PRO" w:hAnsi="HG丸ｺﾞｼｯｸM-PRO" w:eastAsia="HG丸ｺﾞｼｯｸM-PRO"/>
          <w:color w:val="000000" w:themeColor="text1"/>
          <w:kern w:val="0"/>
          <w:sz w:val="22"/>
        </w:rPr>
        <w:t>で使用する装置は１週間当たりの延べ使用時間を記載し、これを１年ごとに閉鎖し、閉鎖後２年間保存する。（則第３０条の２３）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使用時間が明らかでない場合は、医政発０３１５第４号に示される撮影１回当たりの</w:t>
      </w:r>
      <w:r>
        <w:rPr>
          <w:rFonts w:hint="eastAsia" w:ascii="HG丸ｺﾞｼｯｸM-PRO" w:hAnsi="HG丸ｺﾞｼｯｸM-PRO" w:eastAsia="HG丸ｺﾞｼｯｸM-PRO"/>
          <w:b w:val="0"/>
          <w:color w:val="000000" w:themeColor="text1"/>
          <w:kern w:val="0"/>
          <w:sz w:val="22"/>
        </w:rPr>
        <w:t>実効稼働負荷</w:t>
      </w:r>
      <w:r>
        <w:rPr>
          <w:rFonts w:hint="eastAsia" w:ascii="HG丸ｺﾞｼｯｸM-PRO" w:hAnsi="HG丸ｺﾞｼｯｸM-PRO" w:eastAsia="HG丸ｺﾞｼｯｸM-PRO"/>
          <w:color w:val="000000" w:themeColor="text1"/>
          <w:kern w:val="0"/>
          <w:sz w:val="22"/>
        </w:rPr>
        <w:t>に１週間当たりの撮影回数を乗じて算出し管理しても差し支えない。</w:t>
      </w:r>
      <w:r>
        <w:rPr>
          <w:rFonts w:hint="default" w:ascii="HG丸ｺﾞｼｯｸM-PRO" w:hAnsi="HG丸ｺﾞｼｯｸM-PRO" w:eastAsia="HG丸ｺﾞｼｯｸM-PRO"/>
          <w:color w:val="000000" w:themeColor="text1"/>
          <w:kern w:val="0"/>
          <w:sz w:val="22"/>
        </w:rPr>
        <w:br w:type="page"/>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32" behindDoc="0" locked="0" layoutInCell="1" hidden="0" allowOverlap="1">
                <wp:simplePos x="0" y="0"/>
                <wp:positionH relativeFrom="margin">
                  <wp:posOffset>0</wp:posOffset>
                </wp:positionH>
                <wp:positionV relativeFrom="paragraph">
                  <wp:posOffset>-635</wp:posOffset>
                </wp:positionV>
                <wp:extent cx="2710815" cy="541655"/>
                <wp:effectExtent l="635" t="635" r="29845" b="10795"/>
                <wp:wrapNone/>
                <wp:docPr id="1056" name="角丸四角形 30"/>
                <a:graphic xmlns:a="http://schemas.openxmlformats.org/drawingml/2006/main">
                  <a:graphicData uri="http://schemas.microsoft.com/office/word/2010/wordprocessingShape">
                    <wps:wsp>
                      <wps:cNvPr id="1056" name="角丸四角形 30"/>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0" style="mso-position-vertical-relative:text;z-index:32;mso-wrap-distance-left:9pt;width:213.45pt;height:42.65pt;mso-position-horizontal-relative:margin;position:absolute;margin-left:0pt;margin-top:-5.e-002pt;mso-wrap-distance-bottom:0pt;mso-wrap-distance-right:9pt;mso-wrap-distance-top:0pt;v-text-anchor:middle;" o:spid="_x0000_s105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v:textbox>
                <v:imagedata o:title=""/>
                <w10:wrap type="none" anchorx="margin" anchory="text"/>
              </v:roundrect>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993-13</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w:t>
            </w:r>
            <w:r>
              <w:rPr>
                <w:rFonts w:hint="eastAsia" w:ascii="HG丸ｺﾞｼｯｸM-PRO" w:hAnsi="HG丸ｺﾞｼｯｸM-PRO" w:eastAsia="HG丸ｺﾞｼｯｸM-PRO"/>
                <w:color w:val="000000" w:themeColor="text1"/>
                <w:kern w:val="0"/>
                <w:sz w:val="22"/>
              </w:rPr>
              <w:t>243</w:t>
            </w:r>
            <w:r>
              <w:rPr>
                <w:rFonts w:hint="default"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7329</w:t>
            </w:r>
            <w:r>
              <w:rPr>
                <w:rFonts w:hint="default"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kern w:val="0"/>
                <w:sz w:val="22"/>
              </w:rPr>
              <w:t>医事薬事室</w:t>
            </w:r>
            <w:r>
              <w:rPr>
                <w:rFonts w:hint="default" w:ascii="HG丸ｺﾞｼｯｸM-PRO" w:hAnsi="HG丸ｺﾞｼｯｸM-PRO" w:eastAsia="HG丸ｺﾞｼｯｸM-PRO"/>
                <w:color w:val="000000" w:themeColor="text1"/>
                <w:kern w:val="0"/>
                <w:sz w:val="22"/>
              </w:rPr>
              <w:t>）</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・茨城県が設置している保健所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中央保健所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993-2</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029-241-0100</w:t>
            </w:r>
            <w:r>
              <w:rPr>
                <w:rFonts w:hint="eastAsia" w:ascii="HG丸ｺﾞｼｯｸM-PRO" w:hAnsi="HG丸ｺﾞｼｯｸM-PRO" w:eastAsia="HG丸ｺﾞｼｯｸM-PRO"/>
                <w:color w:val="000000" w:themeColor="text1"/>
                <w:kern w:val="0"/>
                <w:sz w:val="22"/>
              </w:rPr>
              <w:t>（代表）</w:t>
            </w:r>
          </w:p>
        </w:tc>
        <w:tc>
          <w:tcPr>
            <w:tcW w:w="2124" w:type="dxa"/>
            <w:vAlign w:val="center"/>
          </w:tcPr>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笠間市、小美玉市、茨城町、大洗町、</w:t>
            </w:r>
          </w:p>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城里町</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※その他茨城県が設置している保健所は茨城県</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より参照ください。</w:t>
      </w:r>
    </w:p>
    <w:p>
      <w:pPr>
        <w:pStyle w:val="0"/>
        <w:autoSpaceDE w:val="0"/>
        <w:autoSpaceDN w:val="0"/>
        <w:adjustRightInd w:val="0"/>
        <w:jc w:val="left"/>
        <w:rPr>
          <w:rStyle w:val="21"/>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https://www.pref.ibaraki.jp/hokenfukushi/koso/iji/koso/healthcenter/index.html</w:t>
      </w:r>
      <w:r>
        <w:rPr>
          <w:rFonts w:hint="eastAsia"/>
        </w:rPr>
        <w:fldChar w:fldCharType="end"/>
      </w:r>
    </w:p>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drawing>
          <wp:inline distT="0" distB="0" distL="0" distR="0">
            <wp:extent cx="4724400" cy="4105275"/>
            <wp:effectExtent l="0" t="0" r="0" b="0"/>
            <wp:docPr id="1057" name="Picture 7" descr="hcgazo200401"/>
            <a:graphic xmlns:a="http://schemas.openxmlformats.org/drawingml/2006/main">
              <a:graphicData uri="http://schemas.openxmlformats.org/drawingml/2006/picture">
                <pic:pic xmlns:pic="http://schemas.openxmlformats.org/drawingml/2006/picture">
                  <pic:nvPicPr>
                    <pic:cNvPr id="1057" name="Picture 7" descr="hcgazo200401"/>
                    <pic:cNvPicPr>
                      <a:picLocks noChangeAspect="1" noChangeArrowheads="1"/>
                    </pic:cNvPicPr>
                  </pic:nvPicPr>
                  <pic:blipFill>
                    <a:blip r:embed="rId10"/>
                    <a:stretch>
                      <a:fillRect/>
                    </a:stretch>
                  </pic:blipFill>
                  <pic:spPr>
                    <a:xfrm>
                      <a:off x="0" y="0"/>
                      <a:ext cx="4724400" cy="4105275"/>
                    </a:xfrm>
                    <a:prstGeom prst="rect">
                      <a:avLst/>
                    </a:prstGeom>
                    <a:noFill/>
                    <a:ln>
                      <a:noFill/>
                    </a:ln>
                  </pic:spPr>
                </pic:pic>
              </a:graphicData>
            </a:graphic>
          </wp:inline>
        </w:drawing>
      </w:r>
    </w:p>
    <w:sectPr>
      <w:pgSz w:w="11906" w:h="16838"/>
      <w:pgMar w:top="1985" w:right="1701" w:bottom="1701" w:left="170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48152108"/>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CAA44AA"/>
    <w:lvl w:ilvl="0" w:tplc="B5A40B6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FC281C74"/>
    <w:lvl w:ilvl="0" w:tplc="00F036DC">
      <w:numFmt w:val="bullet"/>
      <w:lvlText w:val="・"/>
      <w:lvlJc w:val="left"/>
      <w:pPr>
        <w:ind w:left="360" w:hanging="360"/>
      </w:pPr>
      <w:rPr>
        <w:rFonts w:hint="eastAsia" w:ascii="ＭＳ 明朝" w:hAnsi="ＭＳ 明朝" w:eastAsia="ＭＳ 明朝"/>
        <w:color w:val="000000"/>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1A822D10"/>
    <w:lvl w:ilvl="0" w:tplc="EEA6F61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7CE286A0"/>
    <w:lvl w:ilvl="0" w:tplc="107A6E04">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4">
    <w:nsid w:val="00000005"/>
    <w:multiLevelType w:val="hybridMultilevel"/>
    <w:tmpl w:val="C184A070"/>
    <w:lvl w:ilvl="0" w:tplc="E0C816B6">
      <w:start w:val="9"/>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nsid w:val="00000006"/>
    <w:multiLevelType w:val="hybridMultilevel"/>
    <w:tmpl w:val="00506D82"/>
    <w:lvl w:ilvl="0" w:tplc="2FB824D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413292F0"/>
    <w:lvl w:ilvl="0" w:tplc="6DCEEDFA">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7">
    <w:nsid w:val="00000008"/>
    <w:multiLevelType w:val="hybridMultilevel"/>
    <w:tmpl w:val="A7760AB8"/>
    <w:lvl w:ilvl="0" w:tplc="B36EF4DC">
      <w:start w:val="7"/>
      <w:numFmt w:val="decimalFullWidth"/>
      <w:lvlText w:val="（%1）"/>
      <w:lvlJc w:val="left"/>
      <w:pPr>
        <w:ind w:left="94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5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80" w:afterLines="0" w:afterAutospacing="0"/>
      </w:pPr>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TOC Heading"/>
    <w:basedOn w:val="1"/>
    <w:next w:val="0"/>
    <w:link w:val="0"/>
    <w:uiPriority w:val="0"/>
    <w:qFormat/>
    <w:pPr>
      <w:keepLines w:val="1"/>
      <w:widowControl w:val="1"/>
      <w:spacing w:before="240" w:beforeLines="0" w:beforeAutospacing="0" w:after="0" w:afterLines="0" w:afterAutospacing="0" w:line="259" w:lineRule="auto"/>
      <w:jc w:val="left"/>
      <w:outlineLvl w:val="9"/>
    </w:pPr>
    <w:rPr>
      <w:color w:val="2E74B4" w:themeColor="accent1" w:themeShade="BF"/>
      <w:kern w:val="0"/>
      <w:sz w:val="32"/>
    </w:rPr>
  </w:style>
  <w:style w:type="character" w:styleId="24">
    <w:name w:val="FollowedHyperlink"/>
    <w:basedOn w:val="10"/>
    <w:next w:val="24"/>
    <w:link w:val="0"/>
    <w:uiPriority w:val="0"/>
    <w:rPr>
      <w:color w:val="954F72" w:themeColor="followed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1809</TotalTime>
  <Pages>17</Pages>
  <Words>282</Words>
  <Characters>9773</Characters>
  <Application>JUST Note</Application>
  <Lines>575</Lines>
  <Paragraphs>342</Paragraphs>
  <Company>水戸市</Company>
  <CharactersWithSpaces>10163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2025-05-09T05:53:23Z</cp:lastPrinted>
  <dcterms:created xsi:type="dcterms:W3CDTF">2021-02-22T08:04:00Z</dcterms:created>
  <dcterms:modified xsi:type="dcterms:W3CDTF">2026-04-13T01:38:18Z</dcterms:modified>
  <cp:revision>108</cp:revision>
</cp:coreProperties>
</file>